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15" w:rsidRPr="000472A4" w:rsidRDefault="00851015" w:rsidP="00851015">
      <w:pPr>
        <w:pStyle w:val="note"/>
        <w:spacing w:before="0" w:beforeAutospacing="0" w:after="0" w:afterAutospacing="0"/>
        <w:ind w:left="3540" w:firstLine="0"/>
        <w:jc w:val="right"/>
        <w:rPr>
          <w:sz w:val="28"/>
          <w:szCs w:val="28"/>
        </w:rPr>
      </w:pPr>
      <w:bookmarkStart w:id="0" w:name="_GoBack"/>
      <w:bookmarkEnd w:id="0"/>
      <w:r w:rsidRPr="000472A4">
        <w:rPr>
          <w:sz w:val="28"/>
          <w:szCs w:val="28"/>
        </w:rPr>
        <w:t>Приложение №12</w:t>
      </w:r>
    </w:p>
    <w:p w:rsidR="00851015" w:rsidRDefault="00851015" w:rsidP="00851015">
      <w:pPr>
        <w:pStyle w:val="note"/>
        <w:spacing w:before="0" w:beforeAutospacing="0" w:after="0" w:afterAutospacing="0"/>
        <w:ind w:left="3540" w:firstLine="0"/>
        <w:jc w:val="right"/>
        <w:rPr>
          <w:sz w:val="28"/>
          <w:szCs w:val="28"/>
        </w:rPr>
      </w:pPr>
      <w:r w:rsidRPr="000472A4">
        <w:rPr>
          <w:sz w:val="28"/>
          <w:szCs w:val="28"/>
        </w:rPr>
        <w:t xml:space="preserve">к Техническому регламенту об обеспечении </w:t>
      </w:r>
    </w:p>
    <w:p w:rsidR="00851015" w:rsidRPr="000472A4" w:rsidRDefault="00851015" w:rsidP="00851015">
      <w:pPr>
        <w:pStyle w:val="note"/>
        <w:spacing w:before="0" w:beforeAutospacing="0" w:after="0" w:afterAutospacing="0"/>
        <w:ind w:left="3540" w:firstLine="0"/>
        <w:jc w:val="right"/>
        <w:rPr>
          <w:sz w:val="28"/>
          <w:szCs w:val="28"/>
        </w:rPr>
      </w:pPr>
      <w:r w:rsidRPr="000472A4">
        <w:rPr>
          <w:sz w:val="28"/>
          <w:szCs w:val="28"/>
        </w:rPr>
        <w:t>присутствия на рынке средств измерени</w:t>
      </w:r>
      <w:r>
        <w:rPr>
          <w:sz w:val="28"/>
          <w:szCs w:val="28"/>
        </w:rPr>
        <w:t>й</w:t>
      </w:r>
      <w:r w:rsidRPr="000472A4">
        <w:rPr>
          <w:sz w:val="28"/>
          <w:szCs w:val="28"/>
        </w:rPr>
        <w:t xml:space="preserve">  </w:t>
      </w:r>
    </w:p>
    <w:p w:rsidR="00851015" w:rsidRDefault="00851015" w:rsidP="00851015">
      <w:pPr>
        <w:pStyle w:val="ti-grseq-1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</w:p>
    <w:p w:rsidR="00851015" w:rsidRDefault="00851015" w:rsidP="00851015">
      <w:pPr>
        <w:pStyle w:val="ti-grseq-1"/>
        <w:tabs>
          <w:tab w:val="left" w:pos="1134"/>
        </w:tabs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  <w:r w:rsidRPr="00D967CA">
        <w:rPr>
          <w:b/>
          <w:sz w:val="28"/>
          <w:szCs w:val="28"/>
        </w:rPr>
        <w:t>АНАЛИЗАТОРЫ ВЫХЛОПНЫХ ГАЗОВ</w:t>
      </w:r>
      <w:r w:rsidRPr="00D967CA">
        <w:rPr>
          <w:b/>
          <w:bCs/>
          <w:sz w:val="28"/>
          <w:szCs w:val="28"/>
        </w:rPr>
        <w:t xml:space="preserve"> (MI-010)</w:t>
      </w:r>
    </w:p>
    <w:p w:rsidR="00851015" w:rsidRPr="00133EA7" w:rsidRDefault="00851015" w:rsidP="00851015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0"/>
          <w:szCs w:val="28"/>
        </w:rPr>
      </w:pPr>
    </w:p>
    <w:p w:rsidR="00851015" w:rsidRPr="00D967CA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Соответствующие требования </w:t>
      </w:r>
      <w:r>
        <w:rPr>
          <w:sz w:val="28"/>
          <w:szCs w:val="28"/>
        </w:rPr>
        <w:t>приложения № 1 к настоящему Техническому регламенту</w:t>
      </w:r>
      <w:r w:rsidRPr="00D967CA">
        <w:rPr>
          <w:sz w:val="28"/>
          <w:szCs w:val="28"/>
        </w:rPr>
        <w:t xml:space="preserve">, специальные требования настоящего </w:t>
      </w:r>
      <w:r>
        <w:rPr>
          <w:sz w:val="28"/>
          <w:szCs w:val="28"/>
        </w:rPr>
        <w:t>приложения</w:t>
      </w:r>
      <w:r w:rsidRPr="00D967CA">
        <w:rPr>
          <w:sz w:val="28"/>
          <w:szCs w:val="28"/>
        </w:rPr>
        <w:t xml:space="preserve"> и процедуры оценки соответствия, указанные в настоящем </w:t>
      </w:r>
      <w:r>
        <w:rPr>
          <w:sz w:val="28"/>
          <w:szCs w:val="28"/>
        </w:rPr>
        <w:t>приложении</w:t>
      </w:r>
      <w:r w:rsidRPr="00D967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применяются к </w:t>
      </w:r>
      <w:proofErr w:type="gramStart"/>
      <w:r w:rsidRPr="00D967CA">
        <w:rPr>
          <w:sz w:val="28"/>
          <w:szCs w:val="28"/>
        </w:rPr>
        <w:t>анализатор</w:t>
      </w:r>
      <w:r>
        <w:rPr>
          <w:sz w:val="28"/>
          <w:szCs w:val="28"/>
        </w:rPr>
        <w:t xml:space="preserve">ам </w:t>
      </w:r>
      <w:r w:rsidRPr="00D967CA">
        <w:rPr>
          <w:sz w:val="28"/>
          <w:szCs w:val="28"/>
        </w:rPr>
        <w:t xml:space="preserve"> выхлопных</w:t>
      </w:r>
      <w:proofErr w:type="gramEnd"/>
      <w:r w:rsidRPr="00D967CA">
        <w:rPr>
          <w:sz w:val="28"/>
          <w:szCs w:val="28"/>
        </w:rPr>
        <w:t xml:space="preserve"> газов, определение которы</w:t>
      </w:r>
      <w:r>
        <w:rPr>
          <w:sz w:val="28"/>
          <w:szCs w:val="28"/>
        </w:rPr>
        <w:t>м</w:t>
      </w:r>
      <w:r w:rsidRPr="00D967CA">
        <w:rPr>
          <w:sz w:val="28"/>
          <w:szCs w:val="28"/>
        </w:rPr>
        <w:t xml:space="preserve"> дано ниже, </w:t>
      </w:r>
      <w:r>
        <w:rPr>
          <w:sz w:val="28"/>
          <w:szCs w:val="28"/>
        </w:rPr>
        <w:t xml:space="preserve">спроектированным </w:t>
      </w:r>
      <w:r w:rsidRPr="00D967CA">
        <w:rPr>
          <w:sz w:val="28"/>
          <w:szCs w:val="28"/>
        </w:rPr>
        <w:t xml:space="preserve"> для контроля и профессионального обслуживания транспортных средств в эксплуатации.</w:t>
      </w:r>
    </w:p>
    <w:p w:rsidR="00851015" w:rsidRPr="00133EA7" w:rsidRDefault="00851015" w:rsidP="00851015">
      <w:pPr>
        <w:pStyle w:val="ti-grseq-1"/>
        <w:tabs>
          <w:tab w:val="left" w:pos="1134"/>
        </w:tabs>
        <w:spacing w:before="0" w:beforeAutospacing="0" w:after="0" w:afterAutospacing="0"/>
        <w:rPr>
          <w:sz w:val="20"/>
          <w:szCs w:val="28"/>
        </w:rPr>
      </w:pPr>
    </w:p>
    <w:p w:rsidR="00851015" w:rsidRPr="00133EA7" w:rsidRDefault="00851015" w:rsidP="00851015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133EA7">
        <w:rPr>
          <w:b/>
          <w:sz w:val="28"/>
          <w:szCs w:val="28"/>
        </w:rPr>
        <w:t>ОПРЕДЕЛЕНИЯ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7349"/>
      </w:tblGrid>
      <w:tr w:rsidR="00851015" w:rsidRPr="000472A4" w:rsidTr="00E17C42">
        <w:trPr>
          <w:tblCellSpacing w:w="0" w:type="dxa"/>
        </w:trPr>
        <w:tc>
          <w:tcPr>
            <w:tcW w:w="0" w:type="auto"/>
          </w:tcPr>
          <w:p w:rsidR="00851015" w:rsidRPr="00133EA7" w:rsidRDefault="00851015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left="142" w:firstLine="0"/>
              <w:rPr>
                <w:b/>
              </w:rPr>
            </w:pPr>
            <w:r w:rsidRPr="00133EA7">
              <w:rPr>
                <w:b/>
              </w:rPr>
              <w:t>Анализатор выхлопных газов</w:t>
            </w:r>
          </w:p>
          <w:p w:rsidR="00851015" w:rsidRPr="00133EA7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  <w:rPr>
                <w:b/>
              </w:rPr>
            </w:pPr>
          </w:p>
        </w:tc>
        <w:tc>
          <w:tcPr>
            <w:tcW w:w="0" w:type="auto"/>
          </w:tcPr>
          <w:p w:rsidR="00851015" w:rsidRPr="000472A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26" w:right="197" w:firstLine="0"/>
            </w:pPr>
            <w:r w:rsidRPr="000472A4">
              <w:t>средство измерений, служащее для определения объемной доли установленных компонентов выхлопных газов двигателей внутреннего сгорания при известном уровне влажности анализируемой пробы</w:t>
            </w:r>
          </w:p>
          <w:p w:rsidR="00851015" w:rsidRPr="000472A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26" w:right="197" w:firstLine="0"/>
            </w:pPr>
            <w:r w:rsidRPr="000472A4">
              <w:t>Компонентами выхлопных газов являются: окись углерода (СО), двуокись углерода (СО</w:t>
            </w:r>
            <w:r w:rsidRPr="00616637">
              <w:rPr>
                <w:vertAlign w:val="subscript"/>
              </w:rPr>
              <w:t>2</w:t>
            </w:r>
            <w:r w:rsidRPr="000472A4">
              <w:t>), кислород (О</w:t>
            </w:r>
            <w:r w:rsidRPr="00616637">
              <w:rPr>
                <w:vertAlign w:val="subscript"/>
              </w:rPr>
              <w:t>2</w:t>
            </w:r>
            <w:r w:rsidRPr="000472A4">
              <w:t>) и углеводороды (НС).</w:t>
            </w:r>
          </w:p>
          <w:p w:rsidR="00851015" w:rsidRPr="000472A4" w:rsidRDefault="00851015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left="26" w:right="197" w:firstLine="0"/>
            </w:pPr>
            <w:r w:rsidRPr="000472A4">
              <w:t>Содержание углеводородов должно выражаться концентрацией, эквивалентной концентрации н-</w:t>
            </w:r>
            <w:proofErr w:type="spellStart"/>
            <w:r w:rsidRPr="000472A4">
              <w:t>гексана</w:t>
            </w:r>
            <w:proofErr w:type="spellEnd"/>
            <w:r w:rsidRPr="000472A4">
              <w:t xml:space="preserve"> (С</w:t>
            </w:r>
            <w:r w:rsidRPr="007C06CE">
              <w:rPr>
                <w:vertAlign w:val="subscript"/>
              </w:rPr>
              <w:t xml:space="preserve">6 </w:t>
            </w:r>
            <w:r w:rsidRPr="000472A4">
              <w:t>Н</w:t>
            </w:r>
            <w:r w:rsidRPr="007C06CE">
              <w:rPr>
                <w:vertAlign w:val="subscript"/>
              </w:rPr>
              <w:t>14</w:t>
            </w:r>
            <w:r w:rsidRPr="000472A4">
              <w:t>), содержани</w:t>
            </w:r>
            <w:r>
              <w:t>е</w:t>
            </w:r>
            <w:r w:rsidRPr="000472A4">
              <w:t xml:space="preserve"> </w:t>
            </w:r>
            <w:r>
              <w:t xml:space="preserve">которых </w:t>
            </w:r>
            <w:r w:rsidRPr="000472A4">
              <w:t>основан</w:t>
            </w:r>
            <w:r>
              <w:t>о</w:t>
            </w:r>
            <w:r w:rsidRPr="000472A4">
              <w:t xml:space="preserve"> на измерении абсорбции в ближней инфракрасной области.</w:t>
            </w:r>
          </w:p>
          <w:p w:rsidR="00851015" w:rsidRPr="000472A4" w:rsidRDefault="00851015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left="26" w:right="197" w:firstLine="0"/>
            </w:pPr>
            <w:r w:rsidRPr="000472A4">
              <w:t>Объемная доля компонентов газа выражается в процентах (%) для СО, СО</w:t>
            </w:r>
            <w:r w:rsidRPr="00616637">
              <w:rPr>
                <w:vertAlign w:val="subscript"/>
              </w:rPr>
              <w:t>2</w:t>
            </w:r>
            <w:r w:rsidRPr="000472A4">
              <w:t xml:space="preserve"> и О</w:t>
            </w:r>
            <w:r w:rsidRPr="00616637">
              <w:rPr>
                <w:vertAlign w:val="subscript"/>
              </w:rPr>
              <w:t>2</w:t>
            </w:r>
            <w:r w:rsidRPr="000472A4">
              <w:t xml:space="preserve"> и в млн (</w:t>
            </w:r>
            <w:proofErr w:type="spellStart"/>
            <w:r w:rsidRPr="000472A4">
              <w:t>ppm</w:t>
            </w:r>
            <w:proofErr w:type="spellEnd"/>
            <w:r w:rsidRPr="000472A4">
              <w:t xml:space="preserve"> </w:t>
            </w:r>
            <w:proofErr w:type="spellStart"/>
            <w:r w:rsidRPr="000472A4">
              <w:t>vol</w:t>
            </w:r>
            <w:proofErr w:type="spellEnd"/>
            <w:r w:rsidRPr="000472A4">
              <w:t>) для НС.</w:t>
            </w:r>
          </w:p>
          <w:p w:rsidR="00851015" w:rsidRPr="000472A4" w:rsidRDefault="00851015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left="26" w:right="197" w:firstLine="0"/>
            </w:pPr>
            <w:r w:rsidRPr="000472A4">
              <w:t>Кроме того, анализатор выхлопного газа вычисляет значение лямбда по результатам измерения объемной доли компонентов выхлопного газа</w:t>
            </w:r>
          </w:p>
        </w:tc>
      </w:tr>
      <w:tr w:rsidR="00851015" w:rsidRPr="000472A4" w:rsidTr="00E17C42">
        <w:trPr>
          <w:tblCellSpacing w:w="0" w:type="dxa"/>
        </w:trPr>
        <w:tc>
          <w:tcPr>
            <w:tcW w:w="0" w:type="auto"/>
          </w:tcPr>
          <w:p w:rsidR="00851015" w:rsidRPr="00133EA7" w:rsidRDefault="00851015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left="142" w:firstLine="0"/>
              <w:rPr>
                <w:b/>
              </w:rPr>
            </w:pPr>
            <w:r w:rsidRPr="00133EA7">
              <w:rPr>
                <w:b/>
              </w:rPr>
              <w:t>Лямбда</w:t>
            </w:r>
          </w:p>
          <w:p w:rsidR="00851015" w:rsidRPr="00133EA7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  <w:rPr>
                <w:b/>
              </w:rPr>
            </w:pPr>
          </w:p>
        </w:tc>
        <w:tc>
          <w:tcPr>
            <w:tcW w:w="0" w:type="auto"/>
          </w:tcPr>
          <w:p w:rsidR="00851015" w:rsidRPr="000472A4" w:rsidRDefault="00851015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left="26" w:right="197" w:firstLine="0"/>
            </w:pPr>
            <w:r w:rsidRPr="000472A4">
              <w:t>является безразмерной величиной, характеризующей эффективность горения в двигателе как отношение воздух/топливо в выхлопных газах. Ее рассчитывают по стандартной формуле</w:t>
            </w:r>
          </w:p>
        </w:tc>
      </w:tr>
    </w:tbl>
    <w:p w:rsidR="00851015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851015" w:rsidRPr="00133EA7" w:rsidRDefault="00851015" w:rsidP="00851015">
      <w:pPr>
        <w:pStyle w:val="note"/>
        <w:tabs>
          <w:tab w:val="left" w:pos="1134"/>
        </w:tabs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133EA7">
        <w:rPr>
          <w:b/>
          <w:sz w:val="28"/>
          <w:szCs w:val="28"/>
        </w:rPr>
        <w:t>СПЕЦИАЛЬНЫЕ ТРЕБОВАНИЯ</w:t>
      </w:r>
    </w:p>
    <w:p w:rsidR="00851015" w:rsidRPr="00133EA7" w:rsidRDefault="00851015" w:rsidP="00851015">
      <w:pPr>
        <w:pStyle w:val="note"/>
        <w:tabs>
          <w:tab w:val="left" w:pos="1134"/>
        </w:tabs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</w:p>
    <w:p w:rsidR="00851015" w:rsidRPr="00133EA7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133EA7">
        <w:rPr>
          <w:b/>
          <w:sz w:val="28"/>
          <w:szCs w:val="28"/>
        </w:rPr>
        <w:t xml:space="preserve">Классы </w:t>
      </w:r>
    </w:p>
    <w:p w:rsidR="00851015" w:rsidRPr="00D967CA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rStyle w:val="bold"/>
          <w:bCs/>
          <w:sz w:val="28"/>
          <w:szCs w:val="28"/>
        </w:rPr>
        <w:t xml:space="preserve">1. </w:t>
      </w:r>
      <w:r w:rsidRPr="00D967CA">
        <w:rPr>
          <w:sz w:val="28"/>
          <w:szCs w:val="28"/>
        </w:rPr>
        <w:t>Для анализаторов выхлопных газов установлены два класса приборов (0 и I). Соответствующие минимальные диапазоны измерений для этих классов даны в табл</w:t>
      </w:r>
      <w:r>
        <w:rPr>
          <w:sz w:val="28"/>
          <w:szCs w:val="28"/>
        </w:rPr>
        <w:t>ице</w:t>
      </w:r>
      <w:r w:rsidRPr="00D967CA">
        <w:rPr>
          <w:sz w:val="28"/>
          <w:szCs w:val="28"/>
        </w:rPr>
        <w:t xml:space="preserve"> 1.</w:t>
      </w:r>
    </w:p>
    <w:p w:rsidR="00851015" w:rsidRDefault="00851015" w:rsidP="00851015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  <w:r w:rsidRPr="00D967CA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70"/>
      </w:tblGrid>
      <w:tr w:rsidR="00851015" w:rsidRPr="00133EA7" w:rsidTr="00E17C42">
        <w:tc>
          <w:tcPr>
            <w:tcW w:w="9344" w:type="dxa"/>
            <w:gridSpan w:val="2"/>
          </w:tcPr>
          <w:p w:rsidR="00851015" w:rsidRPr="00133EA7" w:rsidRDefault="00851015" w:rsidP="00E17C42">
            <w:pPr>
              <w:pStyle w:val="ti-grseq-1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133EA7">
              <w:rPr>
                <w:b/>
              </w:rPr>
              <w:t>Классы и диапазоны измерений</w:t>
            </w:r>
          </w:p>
        </w:tc>
      </w:tr>
      <w:tr w:rsidR="00851015" w:rsidRPr="00FD3A64" w:rsidTr="00E17C42">
        <w:tc>
          <w:tcPr>
            <w:tcW w:w="4674" w:type="dxa"/>
          </w:tcPr>
          <w:p w:rsidR="00851015" w:rsidRPr="00133EA7" w:rsidRDefault="00851015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 w:firstLine="0"/>
              <w:jc w:val="center"/>
              <w:rPr>
                <w:b/>
                <w:bCs/>
              </w:rPr>
            </w:pPr>
            <w:r w:rsidRPr="00133EA7">
              <w:rPr>
                <w:b/>
              </w:rPr>
              <w:t>Параметр</w:t>
            </w:r>
          </w:p>
        </w:tc>
        <w:tc>
          <w:tcPr>
            <w:tcW w:w="4670" w:type="dxa"/>
          </w:tcPr>
          <w:p w:rsidR="00851015" w:rsidRPr="00133EA7" w:rsidRDefault="00851015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 w:firstLine="0"/>
              <w:jc w:val="center"/>
              <w:rPr>
                <w:b/>
                <w:bCs/>
              </w:rPr>
            </w:pPr>
            <w:r w:rsidRPr="00133EA7">
              <w:rPr>
                <w:b/>
              </w:rPr>
              <w:t xml:space="preserve">Классы </w:t>
            </w:r>
            <w:r w:rsidRPr="00133EA7">
              <w:rPr>
                <w:b/>
                <w:bCs/>
              </w:rPr>
              <w:t>0 и I</w:t>
            </w:r>
          </w:p>
        </w:tc>
      </w:tr>
      <w:tr w:rsidR="00851015" w:rsidRPr="00FD3A64" w:rsidTr="00E17C42">
        <w:tc>
          <w:tcPr>
            <w:tcW w:w="4674" w:type="dxa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FD3A64">
              <w:t>Объемная доля CO</w:t>
            </w:r>
          </w:p>
        </w:tc>
        <w:tc>
          <w:tcPr>
            <w:tcW w:w="4670" w:type="dxa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FD3A64">
              <w:t xml:space="preserve">от 0 до 5 % </w:t>
            </w:r>
            <w:proofErr w:type="spellStart"/>
            <w:r w:rsidRPr="00FD3A64">
              <w:t>vol</w:t>
            </w:r>
            <w:proofErr w:type="spellEnd"/>
          </w:p>
        </w:tc>
      </w:tr>
      <w:tr w:rsidR="00851015" w:rsidRPr="00FD3A64" w:rsidTr="00E17C42">
        <w:tc>
          <w:tcPr>
            <w:tcW w:w="4674" w:type="dxa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FD3A64">
              <w:t>Объемная доля CO</w:t>
            </w:r>
            <w:r w:rsidRPr="00616637">
              <w:rPr>
                <w:rStyle w:val="sub"/>
                <w:vertAlign w:val="subscript"/>
              </w:rPr>
              <w:t>2</w:t>
            </w:r>
          </w:p>
        </w:tc>
        <w:tc>
          <w:tcPr>
            <w:tcW w:w="4670" w:type="dxa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FD3A64">
              <w:t xml:space="preserve">от 0 до 16 % </w:t>
            </w:r>
            <w:proofErr w:type="spellStart"/>
            <w:r w:rsidRPr="00FD3A64">
              <w:t>vol</w:t>
            </w:r>
            <w:proofErr w:type="spellEnd"/>
          </w:p>
        </w:tc>
      </w:tr>
      <w:tr w:rsidR="00851015" w:rsidRPr="00FD3A64" w:rsidTr="00E17C42">
        <w:tc>
          <w:tcPr>
            <w:tcW w:w="4674" w:type="dxa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FD3A64">
              <w:t>Объемная доля HC</w:t>
            </w:r>
          </w:p>
        </w:tc>
        <w:tc>
          <w:tcPr>
            <w:tcW w:w="4670" w:type="dxa"/>
          </w:tcPr>
          <w:p w:rsidR="00851015" w:rsidRPr="00FD3A64" w:rsidRDefault="00851015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right="195" w:firstLine="0"/>
            </w:pPr>
            <w:r w:rsidRPr="00FD3A64">
              <w:t>от 0 до 2 000 </w:t>
            </w:r>
            <w:proofErr w:type="spellStart"/>
            <w:r w:rsidRPr="00FD3A64">
              <w:t>ppm</w:t>
            </w:r>
            <w:proofErr w:type="spellEnd"/>
            <w:r w:rsidRPr="00FD3A64">
              <w:t xml:space="preserve"> </w:t>
            </w:r>
            <w:proofErr w:type="spellStart"/>
            <w:r w:rsidRPr="00FD3A64">
              <w:t>vol</w:t>
            </w:r>
            <w:proofErr w:type="spellEnd"/>
          </w:p>
        </w:tc>
      </w:tr>
      <w:tr w:rsidR="00851015" w:rsidRPr="00FD3A64" w:rsidTr="00E17C42">
        <w:tc>
          <w:tcPr>
            <w:tcW w:w="4674" w:type="dxa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FD3A64">
              <w:t>Объемная доля O</w:t>
            </w:r>
            <w:r w:rsidRPr="00616637">
              <w:rPr>
                <w:rStyle w:val="sub"/>
                <w:vertAlign w:val="subscript"/>
              </w:rPr>
              <w:t>2</w:t>
            </w:r>
          </w:p>
        </w:tc>
        <w:tc>
          <w:tcPr>
            <w:tcW w:w="4670" w:type="dxa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proofErr w:type="gramStart"/>
            <w:r w:rsidRPr="00FD3A64">
              <w:t>от  0</w:t>
            </w:r>
            <w:proofErr w:type="gramEnd"/>
            <w:r w:rsidRPr="00FD3A64">
              <w:t xml:space="preserve"> до 21 % </w:t>
            </w:r>
            <w:proofErr w:type="spellStart"/>
            <w:r w:rsidRPr="00FD3A64">
              <w:t>vol</w:t>
            </w:r>
            <w:proofErr w:type="spellEnd"/>
          </w:p>
        </w:tc>
      </w:tr>
      <w:tr w:rsidR="00851015" w:rsidRPr="00FD3A64" w:rsidTr="00E17C42">
        <w:tc>
          <w:tcPr>
            <w:tcW w:w="4674" w:type="dxa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FD3A64">
              <w:t>λ</w:t>
            </w:r>
          </w:p>
        </w:tc>
        <w:tc>
          <w:tcPr>
            <w:tcW w:w="4670" w:type="dxa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FD3A64">
              <w:t>от 0,8 до 1,2</w:t>
            </w:r>
          </w:p>
        </w:tc>
      </w:tr>
    </w:tbl>
    <w:p w:rsidR="00851015" w:rsidRPr="00133EA7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133EA7">
        <w:rPr>
          <w:b/>
          <w:sz w:val="28"/>
          <w:szCs w:val="28"/>
        </w:rPr>
        <w:t>Нормированные рабочие условия</w:t>
      </w:r>
    </w:p>
    <w:p w:rsidR="00851015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67CA">
        <w:rPr>
          <w:sz w:val="28"/>
          <w:szCs w:val="28"/>
        </w:rPr>
        <w:t xml:space="preserve">Нормированные значения рабочих условий должны устанавливаться </w:t>
      </w:r>
      <w:r>
        <w:rPr>
          <w:sz w:val="28"/>
          <w:szCs w:val="28"/>
        </w:rPr>
        <w:t>производителем</w:t>
      </w:r>
      <w:r w:rsidRPr="00D967CA">
        <w:rPr>
          <w:sz w:val="28"/>
          <w:szCs w:val="28"/>
        </w:rPr>
        <w:t xml:space="preserve"> следующим образом:</w:t>
      </w:r>
    </w:p>
    <w:p w:rsidR="00851015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967CA">
        <w:rPr>
          <w:sz w:val="28"/>
          <w:szCs w:val="28"/>
        </w:rPr>
        <w:t>Для климатических и механических влияющих величин:</w:t>
      </w:r>
    </w:p>
    <w:p w:rsidR="00851015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D967CA">
        <w:rPr>
          <w:sz w:val="28"/>
          <w:szCs w:val="28"/>
        </w:rPr>
        <w:t>для климатических условий, минимальный температурный диапазон должен быть 35 °C;</w:t>
      </w:r>
    </w:p>
    <w:p w:rsidR="00851015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D967CA">
        <w:rPr>
          <w:sz w:val="28"/>
          <w:szCs w:val="28"/>
        </w:rPr>
        <w:t>для механических условий применяется класс M1.</w:t>
      </w:r>
    </w:p>
    <w:p w:rsidR="00851015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967CA">
        <w:rPr>
          <w:sz w:val="28"/>
          <w:szCs w:val="28"/>
        </w:rPr>
        <w:t>Для величин, влияющих на электрическую мощность, указывают:</w:t>
      </w:r>
    </w:p>
    <w:p w:rsidR="00851015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967CA">
        <w:rPr>
          <w:sz w:val="28"/>
          <w:szCs w:val="28"/>
        </w:rPr>
        <w:t>диапазон напряжения и частоты для напряжения питания переменного тока;</w:t>
      </w:r>
    </w:p>
    <w:p w:rsidR="00851015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967CA">
        <w:rPr>
          <w:sz w:val="28"/>
          <w:szCs w:val="28"/>
        </w:rPr>
        <w:t>пределы напряжения питания постоянного тока</w:t>
      </w:r>
      <w:r>
        <w:rPr>
          <w:sz w:val="28"/>
          <w:szCs w:val="28"/>
        </w:rPr>
        <w:t>.</w:t>
      </w:r>
    </w:p>
    <w:p w:rsidR="00851015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967CA">
        <w:rPr>
          <w:sz w:val="28"/>
          <w:szCs w:val="28"/>
        </w:rPr>
        <w:t>Для атмосферного давления:</w:t>
      </w:r>
    </w:p>
    <w:p w:rsidR="00851015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67CA">
        <w:rPr>
          <w:sz w:val="28"/>
          <w:szCs w:val="28"/>
        </w:rPr>
        <w:t>минимальн</w:t>
      </w:r>
      <w:r>
        <w:rPr>
          <w:sz w:val="28"/>
          <w:szCs w:val="28"/>
        </w:rPr>
        <w:t>ые</w:t>
      </w:r>
      <w:r w:rsidRPr="00D967CA">
        <w:rPr>
          <w:sz w:val="28"/>
          <w:szCs w:val="28"/>
        </w:rPr>
        <w:t xml:space="preserve"> и максимальн</w:t>
      </w:r>
      <w:r>
        <w:rPr>
          <w:sz w:val="28"/>
          <w:szCs w:val="28"/>
        </w:rPr>
        <w:t>ые</w:t>
      </w:r>
      <w:r w:rsidRPr="00D967CA">
        <w:rPr>
          <w:sz w:val="28"/>
          <w:szCs w:val="28"/>
        </w:rPr>
        <w:t xml:space="preserve"> значения атмосферного давления должны быть в следующих пределах для обоих классов: </w:t>
      </w:r>
      <w:proofErr w:type="spellStart"/>
      <w:r w:rsidRPr="00D967CA">
        <w:rPr>
          <w:sz w:val="28"/>
          <w:szCs w:val="28"/>
        </w:rPr>
        <w:t>p</w:t>
      </w:r>
      <w:r w:rsidRPr="00D967CA">
        <w:rPr>
          <w:rStyle w:val="sub"/>
          <w:sz w:val="28"/>
          <w:szCs w:val="28"/>
          <w:vertAlign w:val="subscript"/>
        </w:rPr>
        <w:t>min</w:t>
      </w:r>
      <w:proofErr w:type="spellEnd"/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 xml:space="preserve">≤ 860 </w:t>
      </w:r>
      <w:proofErr w:type="spellStart"/>
      <w:r w:rsidRPr="00D967CA">
        <w:rPr>
          <w:sz w:val="28"/>
          <w:szCs w:val="28"/>
        </w:rPr>
        <w:t>hPa</w:t>
      </w:r>
      <w:proofErr w:type="spellEnd"/>
      <w:r w:rsidRPr="00D967CA">
        <w:rPr>
          <w:sz w:val="28"/>
          <w:szCs w:val="28"/>
        </w:rPr>
        <w:t xml:space="preserve">, </w:t>
      </w:r>
      <w:proofErr w:type="spellStart"/>
      <w:r w:rsidRPr="00D967CA">
        <w:rPr>
          <w:sz w:val="28"/>
          <w:szCs w:val="28"/>
        </w:rPr>
        <w:t>p</w:t>
      </w:r>
      <w:r w:rsidRPr="00D967CA">
        <w:rPr>
          <w:rStyle w:val="sub"/>
          <w:sz w:val="28"/>
          <w:szCs w:val="28"/>
          <w:vertAlign w:val="subscript"/>
        </w:rPr>
        <w:t>max</w:t>
      </w:r>
      <w:proofErr w:type="spellEnd"/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 xml:space="preserve">≥ 1 060 </w:t>
      </w:r>
      <w:proofErr w:type="spellStart"/>
      <w:r w:rsidRPr="00D967CA">
        <w:rPr>
          <w:sz w:val="28"/>
          <w:szCs w:val="28"/>
        </w:rPr>
        <w:t>hPa</w:t>
      </w:r>
      <w:proofErr w:type="spellEnd"/>
      <w:r w:rsidRPr="00D967CA">
        <w:rPr>
          <w:sz w:val="28"/>
          <w:szCs w:val="28"/>
        </w:rPr>
        <w:t>.</w:t>
      </w:r>
    </w:p>
    <w:p w:rsidR="00851015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851015" w:rsidRPr="00133EA7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133EA7">
        <w:rPr>
          <w:b/>
          <w:sz w:val="28"/>
          <w:szCs w:val="28"/>
        </w:rPr>
        <w:t>Максимальн</w:t>
      </w:r>
      <w:r>
        <w:rPr>
          <w:b/>
          <w:sz w:val="28"/>
          <w:szCs w:val="28"/>
        </w:rPr>
        <w:t>о</w:t>
      </w:r>
      <w:r w:rsidRPr="00133EA7">
        <w:rPr>
          <w:b/>
          <w:sz w:val="28"/>
          <w:szCs w:val="28"/>
        </w:rPr>
        <w:t xml:space="preserve"> допустимые погрешности </w:t>
      </w:r>
    </w:p>
    <w:p w:rsidR="00851015" w:rsidRPr="00133EA7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133EA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33EA7">
        <w:rPr>
          <w:sz w:val="28"/>
          <w:szCs w:val="28"/>
        </w:rPr>
        <w:t>МДП определены следующим образом:</w:t>
      </w:r>
    </w:p>
    <w:p w:rsidR="00851015" w:rsidRPr="00D967CA" w:rsidRDefault="00851015" w:rsidP="00851015">
      <w:pPr>
        <w:pStyle w:val="1"/>
        <w:tabs>
          <w:tab w:val="left" w:pos="-3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3.1.Для каждой из измеренных величин предел погрешности, допускаем</w:t>
      </w:r>
      <w:r>
        <w:rPr>
          <w:sz w:val="28"/>
          <w:szCs w:val="28"/>
        </w:rPr>
        <w:t>ы</w:t>
      </w:r>
      <w:r w:rsidRPr="00D967CA">
        <w:rPr>
          <w:sz w:val="28"/>
          <w:szCs w:val="28"/>
        </w:rPr>
        <w:t>й при нормированных рабочих условиях в соответствии с требованиями п</w:t>
      </w:r>
      <w:r>
        <w:rPr>
          <w:sz w:val="28"/>
          <w:szCs w:val="28"/>
        </w:rPr>
        <w:t xml:space="preserve">ункта </w:t>
      </w:r>
      <w:r w:rsidRPr="00D967CA">
        <w:rPr>
          <w:sz w:val="28"/>
          <w:szCs w:val="28"/>
        </w:rPr>
        <w:t xml:space="preserve">1.1 </w:t>
      </w:r>
      <w:r>
        <w:rPr>
          <w:sz w:val="28"/>
          <w:szCs w:val="28"/>
        </w:rPr>
        <w:t>приложения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№ 1 к настоящему Техническому регламенту</w:t>
      </w:r>
      <w:r w:rsidRPr="00D967CA">
        <w:rPr>
          <w:sz w:val="28"/>
          <w:szCs w:val="28"/>
        </w:rPr>
        <w:t>, соответствует большему из двух значений, указанных в табл</w:t>
      </w:r>
      <w:r>
        <w:rPr>
          <w:sz w:val="28"/>
          <w:szCs w:val="28"/>
        </w:rPr>
        <w:t>ице</w:t>
      </w:r>
      <w:r w:rsidRPr="00D967CA">
        <w:rPr>
          <w:sz w:val="28"/>
          <w:szCs w:val="28"/>
        </w:rPr>
        <w:t xml:space="preserve"> 2. Первые из этих значений - это абсолютные значения, выраженные в объемной доле % </w:t>
      </w:r>
      <w:proofErr w:type="spellStart"/>
      <w:r w:rsidRPr="00D967CA">
        <w:rPr>
          <w:sz w:val="28"/>
          <w:szCs w:val="28"/>
        </w:rPr>
        <w:t>vol</w:t>
      </w:r>
      <w:proofErr w:type="spellEnd"/>
      <w:r w:rsidRPr="00D967CA">
        <w:rPr>
          <w:sz w:val="28"/>
          <w:szCs w:val="28"/>
        </w:rPr>
        <w:t xml:space="preserve"> или в </w:t>
      </w:r>
      <w:proofErr w:type="spellStart"/>
      <w:r w:rsidRPr="00D967CA">
        <w:rPr>
          <w:sz w:val="28"/>
          <w:szCs w:val="28"/>
        </w:rPr>
        <w:t>ppm</w:t>
      </w:r>
      <w:proofErr w:type="spellEnd"/>
      <w:r w:rsidRPr="00D967CA">
        <w:rPr>
          <w:sz w:val="28"/>
          <w:szCs w:val="28"/>
        </w:rPr>
        <w:t xml:space="preserve"> </w:t>
      </w:r>
      <w:proofErr w:type="spellStart"/>
      <w:r w:rsidRPr="00D967CA">
        <w:rPr>
          <w:sz w:val="28"/>
          <w:szCs w:val="28"/>
        </w:rPr>
        <w:t>vol</w:t>
      </w:r>
      <w:proofErr w:type="spellEnd"/>
      <w:r w:rsidRPr="00D967CA">
        <w:rPr>
          <w:sz w:val="28"/>
          <w:szCs w:val="28"/>
        </w:rPr>
        <w:t>. Вторые - относительные погрешности, выраже</w:t>
      </w:r>
      <w:r>
        <w:rPr>
          <w:sz w:val="28"/>
          <w:szCs w:val="28"/>
        </w:rPr>
        <w:t>нн</w:t>
      </w:r>
      <w:r w:rsidRPr="00D967CA">
        <w:rPr>
          <w:sz w:val="28"/>
          <w:szCs w:val="28"/>
        </w:rPr>
        <w:t xml:space="preserve">ые в процентах от истинного значения. </w:t>
      </w:r>
    </w:p>
    <w:p w:rsidR="00851015" w:rsidRPr="00D967CA" w:rsidRDefault="00851015" w:rsidP="00851015">
      <w:pPr>
        <w:pStyle w:val="1"/>
        <w:tabs>
          <w:tab w:val="left" w:pos="-30"/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  <w:r w:rsidRPr="00D967CA">
        <w:rPr>
          <w:sz w:val="28"/>
          <w:szCs w:val="28"/>
        </w:rPr>
        <w:t>Таблица 2</w:t>
      </w:r>
    </w:p>
    <w:p w:rsidR="00851015" w:rsidRPr="00D967CA" w:rsidRDefault="00851015" w:rsidP="00851015">
      <w:pPr>
        <w:pStyle w:val="1"/>
        <w:tabs>
          <w:tab w:val="left" w:pos="-30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margin" w:tblpY="-41"/>
        <w:tblOverlap w:val="never"/>
        <w:tblW w:w="498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909"/>
        <w:gridCol w:w="2594"/>
      </w:tblGrid>
      <w:tr w:rsidR="00851015" w:rsidRPr="00133EA7" w:rsidTr="00E17C42">
        <w:trPr>
          <w:tblCellSpacing w:w="0" w:type="dxa"/>
        </w:trPr>
        <w:tc>
          <w:tcPr>
            <w:tcW w:w="5000" w:type="pct"/>
            <w:gridSpan w:val="3"/>
          </w:tcPr>
          <w:p w:rsidR="00851015" w:rsidRPr="00133EA7" w:rsidRDefault="00851015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/>
                <w:bCs/>
              </w:rPr>
            </w:pPr>
            <w:r w:rsidRPr="00133EA7">
              <w:rPr>
                <w:b/>
              </w:rPr>
              <w:t>МДП</w:t>
            </w:r>
          </w:p>
        </w:tc>
      </w:tr>
      <w:tr w:rsidR="00851015" w:rsidRPr="00133EA7" w:rsidTr="00E17C42">
        <w:trPr>
          <w:tblCellSpacing w:w="0" w:type="dxa"/>
        </w:trPr>
        <w:tc>
          <w:tcPr>
            <w:tcW w:w="0" w:type="auto"/>
          </w:tcPr>
          <w:p w:rsidR="00851015" w:rsidRPr="00133EA7" w:rsidRDefault="00851015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/>
                <w:bCs/>
              </w:rPr>
            </w:pPr>
            <w:r w:rsidRPr="00133EA7">
              <w:rPr>
                <w:b/>
              </w:rPr>
              <w:t>Параметр</w:t>
            </w:r>
          </w:p>
        </w:tc>
        <w:tc>
          <w:tcPr>
            <w:tcW w:w="1562" w:type="pct"/>
          </w:tcPr>
          <w:p w:rsidR="00851015" w:rsidRPr="00133EA7" w:rsidRDefault="00851015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/>
                <w:bCs/>
              </w:rPr>
            </w:pPr>
            <w:r w:rsidRPr="00133EA7">
              <w:rPr>
                <w:b/>
                <w:bCs/>
              </w:rPr>
              <w:t>Класс 0</w:t>
            </w:r>
          </w:p>
        </w:tc>
        <w:tc>
          <w:tcPr>
            <w:tcW w:w="1393" w:type="pct"/>
          </w:tcPr>
          <w:p w:rsidR="00851015" w:rsidRPr="00133EA7" w:rsidRDefault="00851015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/>
                <w:bCs/>
              </w:rPr>
            </w:pPr>
            <w:r w:rsidRPr="00133EA7">
              <w:rPr>
                <w:b/>
                <w:bCs/>
              </w:rPr>
              <w:t>Класс I</w:t>
            </w:r>
          </w:p>
        </w:tc>
      </w:tr>
      <w:tr w:rsidR="00851015" w:rsidRPr="00FD3A64" w:rsidTr="00E17C42">
        <w:trPr>
          <w:tblCellSpacing w:w="0" w:type="dxa"/>
        </w:trPr>
        <w:tc>
          <w:tcPr>
            <w:tcW w:w="0" w:type="auto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>Объемная доля CO</w:t>
            </w:r>
          </w:p>
        </w:tc>
        <w:tc>
          <w:tcPr>
            <w:tcW w:w="1562" w:type="pct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 xml:space="preserve">± 0,03 % </w:t>
            </w:r>
            <w:proofErr w:type="spellStart"/>
            <w:r w:rsidRPr="00FD3A64">
              <w:t>vol</w:t>
            </w:r>
            <w:proofErr w:type="spellEnd"/>
          </w:p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>± 5 %</w:t>
            </w:r>
          </w:p>
        </w:tc>
        <w:tc>
          <w:tcPr>
            <w:tcW w:w="1393" w:type="pct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 xml:space="preserve">± 0,06 % </w:t>
            </w:r>
            <w:proofErr w:type="spellStart"/>
            <w:r w:rsidRPr="00FD3A64">
              <w:t>vol</w:t>
            </w:r>
            <w:proofErr w:type="spellEnd"/>
          </w:p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>± 5 %</w:t>
            </w:r>
          </w:p>
        </w:tc>
      </w:tr>
      <w:tr w:rsidR="00851015" w:rsidRPr="00FD3A64" w:rsidTr="00E17C42">
        <w:trPr>
          <w:tblCellSpacing w:w="0" w:type="dxa"/>
        </w:trPr>
        <w:tc>
          <w:tcPr>
            <w:tcW w:w="0" w:type="auto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>Объемная доля CO</w:t>
            </w:r>
            <w:r w:rsidRPr="00616637">
              <w:rPr>
                <w:rStyle w:val="sub"/>
                <w:vertAlign w:val="subscript"/>
              </w:rPr>
              <w:t>2</w:t>
            </w:r>
          </w:p>
        </w:tc>
        <w:tc>
          <w:tcPr>
            <w:tcW w:w="1562" w:type="pct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 xml:space="preserve">± 0,5 % </w:t>
            </w:r>
            <w:proofErr w:type="spellStart"/>
            <w:r w:rsidRPr="00FD3A64">
              <w:t>vol</w:t>
            </w:r>
            <w:proofErr w:type="spellEnd"/>
          </w:p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>± 5 %</w:t>
            </w:r>
          </w:p>
        </w:tc>
        <w:tc>
          <w:tcPr>
            <w:tcW w:w="1393" w:type="pct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 xml:space="preserve">± 0,5 % </w:t>
            </w:r>
            <w:proofErr w:type="spellStart"/>
            <w:r w:rsidRPr="00FD3A64">
              <w:t>vol</w:t>
            </w:r>
            <w:proofErr w:type="spellEnd"/>
          </w:p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>± 5 %</w:t>
            </w:r>
          </w:p>
        </w:tc>
      </w:tr>
      <w:tr w:rsidR="00851015" w:rsidRPr="00FD3A64" w:rsidTr="00E17C42">
        <w:trPr>
          <w:tblCellSpacing w:w="0" w:type="dxa"/>
        </w:trPr>
        <w:tc>
          <w:tcPr>
            <w:tcW w:w="0" w:type="auto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>Объемная доля HC</w:t>
            </w:r>
          </w:p>
        </w:tc>
        <w:tc>
          <w:tcPr>
            <w:tcW w:w="1562" w:type="pct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>± 10 </w:t>
            </w:r>
            <w:proofErr w:type="spellStart"/>
            <w:r w:rsidRPr="00FD3A64">
              <w:t>ppm</w:t>
            </w:r>
            <w:proofErr w:type="spellEnd"/>
            <w:r w:rsidRPr="00FD3A64">
              <w:t xml:space="preserve"> </w:t>
            </w:r>
            <w:proofErr w:type="spellStart"/>
            <w:r w:rsidRPr="00FD3A64">
              <w:t>vol</w:t>
            </w:r>
            <w:proofErr w:type="spellEnd"/>
          </w:p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>± 5 %</w:t>
            </w:r>
          </w:p>
        </w:tc>
        <w:tc>
          <w:tcPr>
            <w:tcW w:w="1393" w:type="pct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>± 12 </w:t>
            </w:r>
            <w:proofErr w:type="spellStart"/>
            <w:r w:rsidRPr="00FD3A64">
              <w:t>ppm</w:t>
            </w:r>
            <w:proofErr w:type="spellEnd"/>
            <w:r w:rsidRPr="00FD3A64">
              <w:t xml:space="preserve"> </w:t>
            </w:r>
            <w:proofErr w:type="spellStart"/>
            <w:r w:rsidRPr="00FD3A64">
              <w:t>vol</w:t>
            </w:r>
            <w:proofErr w:type="spellEnd"/>
          </w:p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>± 5 %</w:t>
            </w:r>
          </w:p>
        </w:tc>
      </w:tr>
      <w:tr w:rsidR="00851015" w:rsidRPr="00FD3A64" w:rsidTr="00E17C42">
        <w:trPr>
          <w:tblCellSpacing w:w="0" w:type="dxa"/>
        </w:trPr>
        <w:tc>
          <w:tcPr>
            <w:tcW w:w="0" w:type="auto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>Объемная доля O</w:t>
            </w:r>
            <w:r w:rsidRPr="00616637">
              <w:rPr>
                <w:rStyle w:val="sub"/>
                <w:vertAlign w:val="subscript"/>
              </w:rPr>
              <w:t>2</w:t>
            </w:r>
          </w:p>
        </w:tc>
        <w:tc>
          <w:tcPr>
            <w:tcW w:w="1562" w:type="pct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 xml:space="preserve">± 0,1 % </w:t>
            </w:r>
            <w:proofErr w:type="spellStart"/>
            <w:r w:rsidRPr="00FD3A64">
              <w:t>vol</w:t>
            </w:r>
            <w:proofErr w:type="spellEnd"/>
          </w:p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>± 5 %</w:t>
            </w:r>
          </w:p>
        </w:tc>
        <w:tc>
          <w:tcPr>
            <w:tcW w:w="1393" w:type="pct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 xml:space="preserve">± 0,1 % </w:t>
            </w:r>
            <w:proofErr w:type="spellStart"/>
            <w:r w:rsidRPr="00FD3A64">
              <w:t>vol</w:t>
            </w:r>
            <w:proofErr w:type="spellEnd"/>
          </w:p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FD3A64">
              <w:t>± 5 %</w:t>
            </w:r>
          </w:p>
        </w:tc>
      </w:tr>
    </w:tbl>
    <w:p w:rsidR="00851015" w:rsidRPr="00D967CA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3.2.МДП при определении лямбды - 0,3 </w:t>
      </w:r>
      <w:proofErr w:type="gramStart"/>
      <w:r w:rsidRPr="00D967CA">
        <w:rPr>
          <w:sz w:val="28"/>
          <w:szCs w:val="28"/>
        </w:rPr>
        <w:t>%..</w:t>
      </w:r>
      <w:proofErr w:type="gramEnd"/>
      <w:r w:rsidRPr="00D967CA">
        <w:rPr>
          <w:sz w:val="28"/>
          <w:szCs w:val="28"/>
        </w:rPr>
        <w:t xml:space="preserve"> Условно истинное значение вычисляется по формуле: </w:t>
      </w:r>
    </w:p>
    <w:p w:rsidR="00851015" w:rsidRPr="00D967CA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      </w:t>
      </w:r>
      <m:oMath>
        <m:r>
          <w:rPr>
            <w:rFonts w:ascii="Cambria Math" w:hAnsi="Cambria Math"/>
            <w:sz w:val="28"/>
            <w:szCs w:val="28"/>
          </w:rPr>
          <m:t>λ=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3,5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3,5+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</m:t>
                            </m:r>
                          </m:e>
                        </m:d>
                      </m:num>
                      <m:den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CO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den>
                    </m:f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</m:t>
                    </m:r>
                  </m:e>
                </m:d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+K1×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HC</m:t>
                    </m:r>
                  </m:e>
                </m:d>
              </m:e>
            </m:d>
          </m:den>
        </m:f>
      </m:oMath>
      <w:r>
        <w:rPr>
          <w:sz w:val="28"/>
          <w:szCs w:val="28"/>
        </w:rPr>
        <w:t>,</w:t>
      </w:r>
    </w:p>
    <w:p w:rsidR="00851015" w:rsidRPr="00D967CA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где:</w:t>
      </w:r>
    </w:p>
    <w:p w:rsidR="00851015" w:rsidRPr="00D967CA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[] – концентрация в % </w:t>
      </w:r>
      <w:proofErr w:type="spellStart"/>
      <w:r w:rsidRPr="00D967CA">
        <w:rPr>
          <w:sz w:val="28"/>
          <w:szCs w:val="28"/>
        </w:rPr>
        <w:t>vol</w:t>
      </w:r>
      <w:proofErr w:type="spellEnd"/>
      <w:r w:rsidRPr="00D967CA">
        <w:rPr>
          <w:sz w:val="28"/>
          <w:szCs w:val="28"/>
        </w:rPr>
        <w:t>.</w:t>
      </w:r>
    </w:p>
    <w:p w:rsidR="00851015" w:rsidRPr="00D967CA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K</w:t>
      </w:r>
      <w:proofErr w:type="gramStart"/>
      <w:r w:rsidRPr="00D967CA">
        <w:rPr>
          <w:sz w:val="28"/>
          <w:szCs w:val="28"/>
        </w:rPr>
        <w:t>1  -</w:t>
      </w:r>
      <w:proofErr w:type="gramEnd"/>
      <w:r w:rsidRPr="00D967CA">
        <w:rPr>
          <w:sz w:val="28"/>
          <w:szCs w:val="28"/>
        </w:rPr>
        <w:t xml:space="preserve"> коэффициент преобразования измерения NDIR (</w:t>
      </w:r>
      <w:proofErr w:type="spellStart"/>
      <w:r w:rsidRPr="00D967CA">
        <w:rPr>
          <w:sz w:val="28"/>
          <w:szCs w:val="28"/>
        </w:rPr>
        <w:t>недисперсионный</w:t>
      </w:r>
      <w:proofErr w:type="spellEnd"/>
      <w:r w:rsidRPr="00D967CA">
        <w:rPr>
          <w:sz w:val="28"/>
          <w:szCs w:val="28"/>
        </w:rPr>
        <w:t xml:space="preserve"> инфракрасный) в измерении FID (пламенно-ионизационный детектор)  предоставляется производителем </w:t>
      </w:r>
      <w:r>
        <w:rPr>
          <w:sz w:val="28"/>
          <w:szCs w:val="28"/>
        </w:rPr>
        <w:t>средства измерения</w:t>
      </w:r>
      <w:r w:rsidRPr="00D967CA">
        <w:rPr>
          <w:sz w:val="28"/>
          <w:szCs w:val="28"/>
        </w:rPr>
        <w:t>.</w:t>
      </w:r>
    </w:p>
    <w:p w:rsidR="00851015" w:rsidRPr="00D967CA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D967CA">
        <w:rPr>
          <w:sz w:val="28"/>
          <w:szCs w:val="28"/>
        </w:rPr>
        <w:t>H</w:t>
      </w:r>
      <w:r w:rsidRPr="00D967CA">
        <w:rPr>
          <w:sz w:val="28"/>
          <w:szCs w:val="28"/>
          <w:vertAlign w:val="subscript"/>
        </w:rPr>
        <w:t>cv</w:t>
      </w:r>
      <w:proofErr w:type="spellEnd"/>
      <w:r w:rsidRPr="00D967CA">
        <w:rPr>
          <w:sz w:val="28"/>
          <w:szCs w:val="28"/>
        </w:rPr>
        <w:t xml:space="preserve"> - атомное соотношение между водородом и углеродом [1,7261]</w:t>
      </w:r>
    </w:p>
    <w:p w:rsidR="00851015" w:rsidRPr="00D967CA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D967CA">
        <w:rPr>
          <w:sz w:val="28"/>
          <w:szCs w:val="28"/>
        </w:rPr>
        <w:t>O</w:t>
      </w:r>
      <w:r w:rsidRPr="00D967CA">
        <w:rPr>
          <w:sz w:val="28"/>
          <w:szCs w:val="28"/>
          <w:vertAlign w:val="subscript"/>
        </w:rPr>
        <w:t>cv</w:t>
      </w:r>
      <w:proofErr w:type="spellEnd"/>
      <w:r w:rsidRPr="00D967CA">
        <w:rPr>
          <w:sz w:val="28"/>
          <w:szCs w:val="28"/>
        </w:rPr>
        <w:t xml:space="preserve"> - атомное соотношение между кислородом и углеродом [0,0175].</w:t>
      </w:r>
    </w:p>
    <w:p w:rsidR="00851015" w:rsidRPr="00D967CA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>Соответствующие расчеты выполняются с использованием показаний прибора</w:t>
      </w:r>
      <w:r>
        <w:rPr>
          <w:sz w:val="28"/>
          <w:szCs w:val="28"/>
        </w:rPr>
        <w:t>.</w:t>
      </w:r>
    </w:p>
    <w:p w:rsidR="00851015" w:rsidRPr="00D967CA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</w:p>
    <w:p w:rsidR="00851015" w:rsidRPr="00133EA7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rStyle w:val="bold"/>
          <w:b/>
          <w:bCs/>
          <w:sz w:val="28"/>
          <w:szCs w:val="28"/>
          <w:highlight w:val="yellow"/>
        </w:rPr>
      </w:pPr>
      <w:r w:rsidRPr="00133EA7">
        <w:rPr>
          <w:b/>
          <w:sz w:val="28"/>
          <w:szCs w:val="28"/>
        </w:rPr>
        <w:t>Допустимое влияние помех</w:t>
      </w:r>
      <w:r w:rsidRPr="00133EA7">
        <w:rPr>
          <w:rStyle w:val="bold"/>
          <w:b/>
          <w:bCs/>
          <w:sz w:val="28"/>
          <w:szCs w:val="28"/>
          <w:highlight w:val="yellow"/>
        </w:rPr>
        <w:t xml:space="preserve"> </w:t>
      </w:r>
    </w:p>
    <w:p w:rsidR="00851015" w:rsidRPr="00D967CA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rStyle w:val="bold"/>
          <w:bCs/>
          <w:sz w:val="28"/>
          <w:szCs w:val="28"/>
        </w:rPr>
        <w:t xml:space="preserve">4. </w:t>
      </w:r>
      <w:r w:rsidRPr="00D967CA">
        <w:rPr>
          <w:sz w:val="28"/>
          <w:szCs w:val="28"/>
        </w:rPr>
        <w:t xml:space="preserve">Критическое значение изменения показания </w:t>
      </w:r>
      <w:r>
        <w:rPr>
          <w:sz w:val="28"/>
          <w:szCs w:val="28"/>
        </w:rPr>
        <w:t>средства измерения</w:t>
      </w:r>
      <w:r w:rsidRPr="00D967CA">
        <w:rPr>
          <w:sz w:val="28"/>
          <w:szCs w:val="28"/>
        </w:rPr>
        <w:t xml:space="preserve"> равно МДП для соответствующего значения объемной доли каждого компонента.</w:t>
      </w:r>
    </w:p>
    <w:p w:rsidR="00851015" w:rsidRPr="00D967CA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5. Воздействие электромагнитных волн должно быть таким, чтобы:</w:t>
      </w:r>
    </w:p>
    <w:p w:rsidR="00851015" w:rsidRPr="00D967CA" w:rsidRDefault="00851015" w:rsidP="00851015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D967CA">
        <w:rPr>
          <w:bCs/>
          <w:sz w:val="28"/>
          <w:szCs w:val="28"/>
        </w:rPr>
        <w:t xml:space="preserve"> </w:t>
      </w:r>
      <w:r w:rsidRPr="00D967CA">
        <w:rPr>
          <w:sz w:val="28"/>
          <w:szCs w:val="28"/>
        </w:rPr>
        <w:t>соответствующее изменение результата измерения не превышало значения критического изменения, указанного в п</w:t>
      </w:r>
      <w:r>
        <w:rPr>
          <w:sz w:val="28"/>
          <w:szCs w:val="28"/>
        </w:rPr>
        <w:t xml:space="preserve">ункте </w:t>
      </w:r>
      <w:r w:rsidRPr="00D967CA">
        <w:rPr>
          <w:sz w:val="28"/>
          <w:szCs w:val="28"/>
        </w:rPr>
        <w:t>4</w:t>
      </w:r>
      <w:r>
        <w:rPr>
          <w:sz w:val="28"/>
          <w:szCs w:val="28"/>
        </w:rPr>
        <w:t xml:space="preserve"> приложения № 4 к настоящему Техническому регламенту</w:t>
      </w:r>
      <w:r w:rsidRPr="00D967CA">
        <w:rPr>
          <w:sz w:val="28"/>
          <w:szCs w:val="28"/>
        </w:rPr>
        <w:t>, или;</w:t>
      </w:r>
    </w:p>
    <w:p w:rsidR="00851015" w:rsidRPr="00D967CA" w:rsidRDefault="00851015" w:rsidP="00851015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Pr="00D967CA">
        <w:rPr>
          <w:sz w:val="28"/>
          <w:szCs w:val="28"/>
        </w:rPr>
        <w:t xml:space="preserve"> показание прибора нельзя считать достоверным результатом измерения.</w:t>
      </w:r>
    </w:p>
    <w:p w:rsidR="00851015" w:rsidRPr="00133EA7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133EA7">
        <w:rPr>
          <w:rStyle w:val="bold"/>
          <w:b/>
          <w:bCs/>
          <w:sz w:val="28"/>
          <w:szCs w:val="28"/>
        </w:rPr>
        <w:t xml:space="preserve">Другие </w:t>
      </w:r>
      <w:r w:rsidRPr="00133EA7">
        <w:rPr>
          <w:b/>
          <w:sz w:val="28"/>
          <w:szCs w:val="28"/>
        </w:rPr>
        <w:t>требования</w:t>
      </w:r>
    </w:p>
    <w:p w:rsidR="00851015" w:rsidRPr="00D967CA" w:rsidRDefault="00851015" w:rsidP="00851015">
      <w:pPr>
        <w:pStyle w:val="1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Разрешающая способность должна быть равн</w:t>
      </w:r>
      <w:r>
        <w:rPr>
          <w:sz w:val="28"/>
          <w:szCs w:val="28"/>
        </w:rPr>
        <w:t>ой</w:t>
      </w:r>
      <w:r w:rsidRPr="00D967CA">
        <w:rPr>
          <w:sz w:val="28"/>
          <w:szCs w:val="28"/>
        </w:rPr>
        <w:t xml:space="preserve"> или на один порядок выше значений, приведенных в табл</w:t>
      </w:r>
      <w:r>
        <w:rPr>
          <w:sz w:val="28"/>
          <w:szCs w:val="28"/>
        </w:rPr>
        <w:t>ице</w:t>
      </w:r>
      <w:r w:rsidRPr="00D967CA">
        <w:rPr>
          <w:sz w:val="28"/>
          <w:szCs w:val="28"/>
        </w:rPr>
        <w:t xml:space="preserve"> 3.</w:t>
      </w:r>
    </w:p>
    <w:p w:rsidR="00851015" w:rsidRDefault="00851015" w:rsidP="00851015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  <w:r w:rsidRPr="00D967CA">
        <w:rPr>
          <w:sz w:val="28"/>
          <w:szCs w:val="28"/>
        </w:rPr>
        <w:t>Таблица 3</w:t>
      </w:r>
    </w:p>
    <w:p w:rsidR="00851015" w:rsidRPr="00D967CA" w:rsidRDefault="00851015" w:rsidP="00851015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1764"/>
        <w:gridCol w:w="1566"/>
        <w:gridCol w:w="871"/>
        <w:gridCol w:w="2258"/>
      </w:tblGrid>
      <w:tr w:rsidR="00851015" w:rsidRPr="00FD3A64" w:rsidTr="00E17C42">
        <w:trPr>
          <w:tblCellSpacing w:w="0" w:type="dxa"/>
        </w:trPr>
        <w:tc>
          <w:tcPr>
            <w:tcW w:w="5000" w:type="pct"/>
            <w:gridSpan w:val="5"/>
          </w:tcPr>
          <w:p w:rsidR="00851015" w:rsidRPr="00133EA7" w:rsidRDefault="00851015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133EA7">
              <w:rPr>
                <w:b/>
              </w:rPr>
              <w:t>Разрешающая способность</w:t>
            </w:r>
          </w:p>
        </w:tc>
      </w:tr>
      <w:tr w:rsidR="00851015" w:rsidRPr="00FD3A64" w:rsidTr="00E17C42">
        <w:trPr>
          <w:tblCellSpacing w:w="0" w:type="dxa"/>
        </w:trPr>
        <w:tc>
          <w:tcPr>
            <w:tcW w:w="1544" w:type="pct"/>
          </w:tcPr>
          <w:p w:rsidR="00851015" w:rsidRPr="00FD3A64" w:rsidRDefault="00851015" w:rsidP="00E17C42">
            <w:pPr>
              <w:pStyle w:val="1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FD3A64">
              <w:t> </w:t>
            </w:r>
          </w:p>
        </w:tc>
        <w:tc>
          <w:tcPr>
            <w:tcW w:w="944" w:type="pct"/>
          </w:tcPr>
          <w:p w:rsidR="00851015" w:rsidRPr="00133EA7" w:rsidRDefault="00851015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133EA7">
              <w:rPr>
                <w:b/>
                <w:bCs/>
              </w:rPr>
              <w:t>CO</w:t>
            </w:r>
          </w:p>
        </w:tc>
        <w:tc>
          <w:tcPr>
            <w:tcW w:w="838" w:type="pct"/>
          </w:tcPr>
          <w:p w:rsidR="00851015" w:rsidRPr="00133EA7" w:rsidRDefault="00851015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133EA7">
              <w:rPr>
                <w:b/>
                <w:bCs/>
              </w:rPr>
              <w:t>CO</w:t>
            </w:r>
            <w:r w:rsidRPr="00616637">
              <w:rPr>
                <w:rStyle w:val="sub"/>
                <w:b/>
                <w:bCs/>
                <w:vertAlign w:val="subscript"/>
              </w:rPr>
              <w:t>2</w:t>
            </w:r>
          </w:p>
        </w:tc>
        <w:tc>
          <w:tcPr>
            <w:tcW w:w="466" w:type="pct"/>
          </w:tcPr>
          <w:p w:rsidR="00851015" w:rsidRPr="00133EA7" w:rsidRDefault="00851015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133EA7">
              <w:rPr>
                <w:b/>
                <w:bCs/>
              </w:rPr>
              <w:t>O</w:t>
            </w:r>
            <w:r w:rsidRPr="00616637">
              <w:rPr>
                <w:rStyle w:val="sub"/>
                <w:b/>
                <w:bCs/>
                <w:vertAlign w:val="subscript"/>
              </w:rPr>
              <w:t>2</w:t>
            </w:r>
          </w:p>
        </w:tc>
        <w:tc>
          <w:tcPr>
            <w:tcW w:w="1207" w:type="pct"/>
          </w:tcPr>
          <w:p w:rsidR="00851015" w:rsidRPr="00133EA7" w:rsidRDefault="00851015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133EA7">
              <w:rPr>
                <w:b/>
                <w:bCs/>
              </w:rPr>
              <w:t>HC</w:t>
            </w:r>
          </w:p>
        </w:tc>
      </w:tr>
      <w:tr w:rsidR="00851015" w:rsidRPr="00FD3A64" w:rsidTr="00E17C42">
        <w:trPr>
          <w:tblCellSpacing w:w="0" w:type="dxa"/>
        </w:trPr>
        <w:tc>
          <w:tcPr>
            <w:tcW w:w="1544" w:type="pct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FD3A64">
              <w:t>Класс 0 и класс I</w:t>
            </w:r>
          </w:p>
        </w:tc>
        <w:tc>
          <w:tcPr>
            <w:tcW w:w="944" w:type="pct"/>
          </w:tcPr>
          <w:p w:rsidR="00851015" w:rsidRPr="00FD3A64" w:rsidRDefault="00851015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FD3A64">
              <w:t xml:space="preserve">0,01 % </w:t>
            </w:r>
            <w:proofErr w:type="spellStart"/>
            <w:r w:rsidRPr="00FD3A64">
              <w:t>vol</w:t>
            </w:r>
            <w:proofErr w:type="spellEnd"/>
          </w:p>
        </w:tc>
        <w:tc>
          <w:tcPr>
            <w:tcW w:w="838" w:type="pct"/>
          </w:tcPr>
          <w:p w:rsidR="00851015" w:rsidRPr="00FD3A64" w:rsidRDefault="00851015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FD3A64">
              <w:t xml:space="preserve">0,1 % </w:t>
            </w:r>
            <w:proofErr w:type="spellStart"/>
            <w:r w:rsidRPr="00FD3A64">
              <w:t>vol</w:t>
            </w:r>
            <w:proofErr w:type="spellEnd"/>
          </w:p>
        </w:tc>
        <w:tc>
          <w:tcPr>
            <w:tcW w:w="466" w:type="pct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vertAlign w:val="superscript"/>
              </w:rPr>
            </w:pPr>
            <w:r w:rsidRPr="00FD3A64">
              <w:rPr>
                <w:vertAlign w:val="superscript"/>
              </w:rPr>
              <w:t>(2)</w:t>
            </w:r>
          </w:p>
        </w:tc>
        <w:tc>
          <w:tcPr>
            <w:tcW w:w="1207" w:type="pct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FD3A64">
              <w:t>1 </w:t>
            </w:r>
            <w:proofErr w:type="spellStart"/>
            <w:r w:rsidRPr="00FD3A64">
              <w:t>ppm</w:t>
            </w:r>
            <w:proofErr w:type="spellEnd"/>
            <w:r w:rsidRPr="00FD3A64">
              <w:t xml:space="preserve"> </w:t>
            </w:r>
            <w:proofErr w:type="spellStart"/>
            <w:r w:rsidRPr="00FD3A64">
              <w:t>vol</w:t>
            </w:r>
            <w:proofErr w:type="spellEnd"/>
          </w:p>
        </w:tc>
      </w:tr>
      <w:tr w:rsidR="00851015" w:rsidRPr="00FD3A64" w:rsidTr="00E17C42">
        <w:trPr>
          <w:tblCellSpacing w:w="0" w:type="dxa"/>
        </w:trPr>
        <w:tc>
          <w:tcPr>
            <w:tcW w:w="5000" w:type="pct"/>
            <w:gridSpan w:val="5"/>
          </w:tcPr>
          <w:p w:rsidR="00851015" w:rsidRPr="00FD3A64" w:rsidRDefault="00851015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FD3A64">
              <w:rPr>
                <w:vertAlign w:val="superscript"/>
              </w:rPr>
              <w:t xml:space="preserve">(2) </w:t>
            </w:r>
            <w:r w:rsidRPr="00FD3A64">
              <w:t xml:space="preserve">  0,01 % </w:t>
            </w:r>
            <w:proofErr w:type="spellStart"/>
            <w:r w:rsidRPr="00FD3A64">
              <w:t>vol</w:t>
            </w:r>
            <w:proofErr w:type="spellEnd"/>
            <w:r w:rsidRPr="00FD3A64">
              <w:t xml:space="preserve"> для диапазона измерения до 4 % </w:t>
            </w:r>
            <w:proofErr w:type="spellStart"/>
            <w:r w:rsidRPr="00FD3A64">
              <w:t>vol</w:t>
            </w:r>
            <w:proofErr w:type="spellEnd"/>
            <w:r w:rsidRPr="00FD3A64">
              <w:t xml:space="preserve">, для остальной части диапазона измерения 0,1 % </w:t>
            </w:r>
            <w:proofErr w:type="spellStart"/>
            <w:r w:rsidRPr="00FD3A64">
              <w:t>vol</w:t>
            </w:r>
            <w:proofErr w:type="spellEnd"/>
            <w:r w:rsidRPr="00FD3A64">
              <w:t>.</w:t>
            </w:r>
          </w:p>
        </w:tc>
      </w:tr>
    </w:tbl>
    <w:p w:rsidR="00851015" w:rsidRDefault="00851015" w:rsidP="00851015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851015" w:rsidRPr="00D967CA" w:rsidRDefault="00851015" w:rsidP="00851015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D967CA">
        <w:rPr>
          <w:sz w:val="28"/>
          <w:szCs w:val="28"/>
        </w:rPr>
        <w:t>Значение лямбды должно быть показано с разрешающей способностью 0,001.</w:t>
      </w:r>
    </w:p>
    <w:p w:rsidR="00851015" w:rsidRPr="00D967CA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7. Среднеквадратическое отклонение 20 результатов измерений не должно быть больше одной трети модуля МДП для соответствующего значения объемной доли каждого анализируемого компонента. </w:t>
      </w:r>
    </w:p>
    <w:p w:rsidR="00851015" w:rsidRPr="00D967CA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8. Для измерений СО, СО</w:t>
      </w:r>
      <w:r w:rsidRPr="00616637">
        <w:rPr>
          <w:sz w:val="28"/>
          <w:szCs w:val="28"/>
          <w:vertAlign w:val="subscript"/>
        </w:rPr>
        <w:t>2</w:t>
      </w:r>
      <w:r w:rsidRPr="00D967CA">
        <w:rPr>
          <w:sz w:val="28"/>
          <w:szCs w:val="28"/>
        </w:rPr>
        <w:t xml:space="preserve"> и НС показания </w:t>
      </w:r>
      <w:r>
        <w:rPr>
          <w:sz w:val="28"/>
          <w:szCs w:val="28"/>
        </w:rPr>
        <w:t>средства измерения</w:t>
      </w:r>
      <w:r w:rsidRPr="00D967CA">
        <w:rPr>
          <w:sz w:val="28"/>
          <w:szCs w:val="28"/>
        </w:rPr>
        <w:t xml:space="preserve">, включая специальную систему подачи газа, должны достигать 95 % от конечного значения концентрации соответствующего эталонного газа не более чем через 15 секунд после замены газа, не содержащего измеряемые компоненты, например, чистого воздуха, на </w:t>
      </w:r>
      <w:proofErr w:type="spellStart"/>
      <w:r w:rsidRPr="00D967CA">
        <w:rPr>
          <w:sz w:val="28"/>
          <w:szCs w:val="28"/>
        </w:rPr>
        <w:t>градуировочную</w:t>
      </w:r>
      <w:proofErr w:type="spellEnd"/>
      <w:r w:rsidRPr="00D967CA">
        <w:rPr>
          <w:sz w:val="28"/>
          <w:szCs w:val="28"/>
        </w:rPr>
        <w:t xml:space="preserve"> смесь. Для измерения </w:t>
      </w:r>
      <w:r>
        <w:rPr>
          <w:sz w:val="28"/>
          <w:szCs w:val="28"/>
        </w:rPr>
        <w:t>кислорода средство измерения</w:t>
      </w:r>
      <w:r w:rsidRPr="00D967CA">
        <w:rPr>
          <w:sz w:val="28"/>
          <w:szCs w:val="28"/>
        </w:rPr>
        <w:t xml:space="preserve"> при обычных условиях должн</w:t>
      </w:r>
      <w:r>
        <w:rPr>
          <w:sz w:val="28"/>
          <w:szCs w:val="28"/>
        </w:rPr>
        <w:t>о</w:t>
      </w:r>
      <w:r w:rsidRPr="00D967CA">
        <w:rPr>
          <w:sz w:val="28"/>
          <w:szCs w:val="28"/>
        </w:rPr>
        <w:t xml:space="preserve"> отображать значение, отличающееся менее чем на 1 % от нуля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не более чем через 60 секунд после замены подаваемого чистого воздуха на газ, не </w:t>
      </w:r>
      <w:proofErr w:type="gramStart"/>
      <w:r w:rsidRPr="00D967CA">
        <w:rPr>
          <w:sz w:val="28"/>
          <w:szCs w:val="28"/>
        </w:rPr>
        <w:t>содержащ</w:t>
      </w:r>
      <w:r>
        <w:rPr>
          <w:sz w:val="28"/>
          <w:szCs w:val="28"/>
        </w:rPr>
        <w:t xml:space="preserve">ий </w:t>
      </w:r>
      <w:r w:rsidRPr="00D967CA">
        <w:rPr>
          <w:sz w:val="28"/>
          <w:szCs w:val="28"/>
        </w:rPr>
        <w:t xml:space="preserve"> кислород</w:t>
      </w:r>
      <w:proofErr w:type="gramEnd"/>
      <w:r w:rsidRPr="00D967CA">
        <w:rPr>
          <w:sz w:val="28"/>
          <w:szCs w:val="28"/>
        </w:rPr>
        <w:t>.</w:t>
      </w:r>
    </w:p>
    <w:p w:rsidR="00851015" w:rsidRPr="00D967CA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9. </w:t>
      </w:r>
      <w:r>
        <w:rPr>
          <w:sz w:val="28"/>
          <w:szCs w:val="28"/>
        </w:rPr>
        <w:t>К</w:t>
      </w:r>
      <w:r w:rsidRPr="00D967CA">
        <w:rPr>
          <w:sz w:val="28"/>
          <w:szCs w:val="28"/>
        </w:rPr>
        <w:t>омпоненты выхлопного газа</w:t>
      </w:r>
      <w:r>
        <w:rPr>
          <w:sz w:val="28"/>
          <w:szCs w:val="28"/>
        </w:rPr>
        <w:t xml:space="preserve">, кроме тех, значение которых подвергнуто </w:t>
      </w:r>
      <w:proofErr w:type="gramStart"/>
      <w:r>
        <w:rPr>
          <w:sz w:val="28"/>
          <w:szCs w:val="28"/>
        </w:rPr>
        <w:t xml:space="preserve">измерению, </w:t>
      </w:r>
      <w:r w:rsidRPr="00D967CA">
        <w:rPr>
          <w:sz w:val="28"/>
          <w:szCs w:val="28"/>
        </w:rPr>
        <w:t xml:space="preserve"> не</w:t>
      </w:r>
      <w:proofErr w:type="gramEnd"/>
      <w:r w:rsidRPr="00D967CA">
        <w:rPr>
          <w:sz w:val="28"/>
          <w:szCs w:val="28"/>
        </w:rPr>
        <w:t xml:space="preserve"> должны оказывать влияни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 на результаты измерений показания прибора более чем на половину </w:t>
      </w:r>
      <w:r>
        <w:rPr>
          <w:sz w:val="28"/>
          <w:szCs w:val="28"/>
        </w:rPr>
        <w:t xml:space="preserve">представленных в </w:t>
      </w:r>
      <w:r w:rsidRPr="00D967CA">
        <w:rPr>
          <w:sz w:val="28"/>
          <w:szCs w:val="28"/>
        </w:rPr>
        <w:t>модуле МДП</w:t>
      </w:r>
      <w:r>
        <w:rPr>
          <w:sz w:val="28"/>
          <w:szCs w:val="28"/>
        </w:rPr>
        <w:t xml:space="preserve">, если эти </w:t>
      </w:r>
      <w:r w:rsidRPr="00D967CA">
        <w:rPr>
          <w:sz w:val="28"/>
          <w:szCs w:val="28"/>
        </w:rPr>
        <w:t>компонент</w:t>
      </w:r>
      <w:r>
        <w:rPr>
          <w:sz w:val="28"/>
          <w:szCs w:val="28"/>
        </w:rPr>
        <w:t xml:space="preserve">ы присутствуют в </w:t>
      </w:r>
      <w:r w:rsidRPr="00D967CA">
        <w:rPr>
          <w:sz w:val="28"/>
          <w:szCs w:val="28"/>
        </w:rPr>
        <w:t>следующих максимальных значени</w:t>
      </w:r>
      <w:r>
        <w:rPr>
          <w:sz w:val="28"/>
          <w:szCs w:val="28"/>
        </w:rPr>
        <w:t>ях</w:t>
      </w:r>
      <w:r w:rsidRPr="00D967CA">
        <w:rPr>
          <w:sz w:val="28"/>
          <w:szCs w:val="28"/>
        </w:rPr>
        <w:t xml:space="preserve"> их объемной доли: </w:t>
      </w:r>
    </w:p>
    <w:p w:rsidR="00851015" w:rsidRPr="00D967CA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  <w:lang w:val="en-US"/>
        </w:rPr>
      </w:pPr>
      <w:r w:rsidRPr="0068390D">
        <w:rPr>
          <w:sz w:val="28"/>
          <w:szCs w:val="28"/>
          <w:lang w:val="en-US"/>
        </w:rPr>
        <w:t xml:space="preserve">1) </w:t>
      </w:r>
      <w:r w:rsidRPr="00D967CA">
        <w:rPr>
          <w:sz w:val="28"/>
          <w:szCs w:val="28"/>
          <w:lang w:val="en-US"/>
        </w:rPr>
        <w:t xml:space="preserve">6 % </w:t>
      </w:r>
      <w:proofErr w:type="spellStart"/>
      <w:r w:rsidRPr="00D967CA">
        <w:rPr>
          <w:sz w:val="28"/>
          <w:szCs w:val="28"/>
          <w:lang w:val="en-US"/>
        </w:rPr>
        <w:t>vol</w:t>
      </w:r>
      <w:proofErr w:type="spellEnd"/>
      <w:r w:rsidRPr="00D967CA">
        <w:rPr>
          <w:sz w:val="28"/>
          <w:szCs w:val="28"/>
          <w:lang w:val="en-US"/>
        </w:rPr>
        <w:t xml:space="preserve"> CO,</w:t>
      </w:r>
    </w:p>
    <w:p w:rsidR="00851015" w:rsidRPr="00D967CA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  <w:lang w:val="en-US"/>
        </w:rPr>
      </w:pPr>
      <w:r w:rsidRPr="0068390D">
        <w:rPr>
          <w:sz w:val="28"/>
          <w:szCs w:val="28"/>
          <w:lang w:val="en-US"/>
        </w:rPr>
        <w:t xml:space="preserve">2) </w:t>
      </w:r>
      <w:r w:rsidRPr="00D967CA">
        <w:rPr>
          <w:sz w:val="28"/>
          <w:szCs w:val="28"/>
          <w:lang w:val="en-US"/>
        </w:rPr>
        <w:t xml:space="preserve">16 % </w:t>
      </w:r>
      <w:proofErr w:type="spellStart"/>
      <w:r w:rsidRPr="00D967CA">
        <w:rPr>
          <w:sz w:val="28"/>
          <w:szCs w:val="28"/>
          <w:lang w:val="en-US"/>
        </w:rPr>
        <w:t>vol</w:t>
      </w:r>
      <w:proofErr w:type="spellEnd"/>
      <w:r w:rsidRPr="00D967CA">
        <w:rPr>
          <w:sz w:val="28"/>
          <w:szCs w:val="28"/>
          <w:lang w:val="en-US"/>
        </w:rPr>
        <w:t xml:space="preserve"> CO</w:t>
      </w:r>
      <w:r w:rsidRPr="0068390D">
        <w:rPr>
          <w:sz w:val="28"/>
          <w:szCs w:val="28"/>
          <w:vertAlign w:val="subscript"/>
          <w:lang w:val="en-US"/>
        </w:rPr>
        <w:t>2</w:t>
      </w:r>
      <w:r w:rsidRPr="0068390D">
        <w:rPr>
          <w:sz w:val="28"/>
          <w:szCs w:val="28"/>
          <w:lang w:val="en-US"/>
        </w:rPr>
        <w:t>;</w:t>
      </w:r>
    </w:p>
    <w:p w:rsidR="00851015" w:rsidRPr="0068390D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  <w:lang w:val="en-US"/>
        </w:rPr>
      </w:pPr>
      <w:r w:rsidRPr="0068390D">
        <w:rPr>
          <w:sz w:val="28"/>
          <w:szCs w:val="28"/>
          <w:lang w:val="en-US"/>
        </w:rPr>
        <w:t xml:space="preserve">3) </w:t>
      </w:r>
      <w:r w:rsidRPr="00D967CA">
        <w:rPr>
          <w:sz w:val="28"/>
          <w:szCs w:val="28"/>
          <w:lang w:val="en-US"/>
        </w:rPr>
        <w:t xml:space="preserve">10 % </w:t>
      </w:r>
      <w:proofErr w:type="spellStart"/>
      <w:r w:rsidRPr="00D967CA">
        <w:rPr>
          <w:sz w:val="28"/>
          <w:szCs w:val="28"/>
          <w:lang w:val="en-US"/>
        </w:rPr>
        <w:t>vol</w:t>
      </w:r>
      <w:proofErr w:type="spellEnd"/>
      <w:r w:rsidRPr="00D967CA">
        <w:rPr>
          <w:sz w:val="28"/>
          <w:szCs w:val="28"/>
          <w:lang w:val="en-US"/>
        </w:rPr>
        <w:t xml:space="preserve"> O</w:t>
      </w:r>
      <w:r w:rsidRPr="0068390D">
        <w:rPr>
          <w:sz w:val="28"/>
          <w:szCs w:val="28"/>
          <w:vertAlign w:val="subscript"/>
          <w:lang w:val="en-US"/>
        </w:rPr>
        <w:t>2</w:t>
      </w:r>
      <w:r w:rsidRPr="0068390D">
        <w:rPr>
          <w:sz w:val="28"/>
          <w:szCs w:val="28"/>
          <w:lang w:val="en-US"/>
        </w:rPr>
        <w:t>;</w:t>
      </w:r>
    </w:p>
    <w:p w:rsidR="00851015" w:rsidRPr="0068390D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  <w:lang w:val="en-US"/>
        </w:rPr>
      </w:pPr>
      <w:r w:rsidRPr="0068390D">
        <w:rPr>
          <w:sz w:val="28"/>
          <w:szCs w:val="28"/>
          <w:lang w:val="en-US"/>
        </w:rPr>
        <w:t xml:space="preserve">4) </w:t>
      </w:r>
      <w:r w:rsidRPr="00D967CA">
        <w:rPr>
          <w:sz w:val="28"/>
          <w:szCs w:val="28"/>
          <w:lang w:val="en-US"/>
        </w:rPr>
        <w:t xml:space="preserve">5 % </w:t>
      </w:r>
      <w:proofErr w:type="spellStart"/>
      <w:r w:rsidRPr="00D967CA">
        <w:rPr>
          <w:sz w:val="28"/>
          <w:szCs w:val="28"/>
          <w:lang w:val="en-US"/>
        </w:rPr>
        <w:t>vol</w:t>
      </w:r>
      <w:proofErr w:type="spellEnd"/>
      <w:r w:rsidRPr="00D967CA">
        <w:rPr>
          <w:sz w:val="28"/>
          <w:szCs w:val="28"/>
          <w:lang w:val="en-US"/>
        </w:rPr>
        <w:t xml:space="preserve"> H</w:t>
      </w:r>
      <w:r w:rsidRPr="0068390D">
        <w:rPr>
          <w:sz w:val="28"/>
          <w:szCs w:val="28"/>
          <w:vertAlign w:val="subscript"/>
          <w:lang w:val="en-US"/>
        </w:rPr>
        <w:t>2</w:t>
      </w:r>
      <w:r w:rsidRPr="0068390D">
        <w:rPr>
          <w:sz w:val="28"/>
          <w:szCs w:val="28"/>
          <w:lang w:val="en-US"/>
        </w:rPr>
        <w:t>;</w:t>
      </w:r>
    </w:p>
    <w:p w:rsidR="00851015" w:rsidRPr="0068390D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  <w:lang w:val="en-US"/>
        </w:rPr>
      </w:pPr>
      <w:r w:rsidRPr="0068390D">
        <w:rPr>
          <w:sz w:val="28"/>
          <w:szCs w:val="28"/>
          <w:lang w:val="en-US"/>
        </w:rPr>
        <w:t>5) 0</w:t>
      </w:r>
      <w:proofErr w:type="gramStart"/>
      <w:r w:rsidRPr="0068390D">
        <w:rPr>
          <w:sz w:val="28"/>
          <w:szCs w:val="28"/>
          <w:lang w:val="en-US"/>
        </w:rPr>
        <w:t>,3</w:t>
      </w:r>
      <w:proofErr w:type="gramEnd"/>
      <w:r w:rsidRPr="0068390D">
        <w:rPr>
          <w:sz w:val="28"/>
          <w:szCs w:val="28"/>
          <w:lang w:val="en-US"/>
        </w:rPr>
        <w:t xml:space="preserve"> % </w:t>
      </w:r>
      <w:proofErr w:type="spellStart"/>
      <w:r w:rsidRPr="00D967CA">
        <w:rPr>
          <w:sz w:val="28"/>
          <w:szCs w:val="28"/>
          <w:lang w:val="en-US"/>
        </w:rPr>
        <w:t>vol</w:t>
      </w:r>
      <w:proofErr w:type="spellEnd"/>
      <w:r w:rsidRPr="0068390D">
        <w:rPr>
          <w:sz w:val="28"/>
          <w:szCs w:val="28"/>
          <w:lang w:val="en-US"/>
        </w:rPr>
        <w:t xml:space="preserve"> </w:t>
      </w:r>
      <w:r w:rsidRPr="00D967CA">
        <w:rPr>
          <w:sz w:val="28"/>
          <w:szCs w:val="28"/>
          <w:lang w:val="en-US"/>
        </w:rPr>
        <w:t>NO</w:t>
      </w:r>
      <w:r w:rsidRPr="00443717">
        <w:rPr>
          <w:sz w:val="28"/>
          <w:szCs w:val="28"/>
          <w:lang w:val="en-US"/>
        </w:rPr>
        <w:t>;</w:t>
      </w:r>
      <w:r w:rsidRPr="0068390D">
        <w:rPr>
          <w:sz w:val="28"/>
          <w:szCs w:val="28"/>
          <w:lang w:val="en-US"/>
        </w:rPr>
        <w:t xml:space="preserve"> </w:t>
      </w:r>
    </w:p>
    <w:p w:rsidR="00851015" w:rsidRPr="0068390D" w:rsidRDefault="00851015" w:rsidP="00851015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  <w:lang w:val="en-US"/>
        </w:rPr>
      </w:pPr>
      <w:r w:rsidRPr="0068390D">
        <w:rPr>
          <w:sz w:val="28"/>
          <w:szCs w:val="28"/>
          <w:lang w:val="en-US"/>
        </w:rPr>
        <w:lastRenderedPageBreak/>
        <w:t xml:space="preserve">6) 2 </w:t>
      </w:r>
      <w:proofErr w:type="gramStart"/>
      <w:r w:rsidRPr="0068390D">
        <w:rPr>
          <w:sz w:val="28"/>
          <w:szCs w:val="28"/>
          <w:lang w:val="en-US"/>
        </w:rPr>
        <w:t xml:space="preserve">000 </w:t>
      </w:r>
      <w:r w:rsidRPr="00D967CA">
        <w:rPr>
          <w:sz w:val="28"/>
          <w:szCs w:val="28"/>
          <w:lang w:val="en-US"/>
        </w:rPr>
        <w:t>ppm</w:t>
      </w:r>
      <w:proofErr w:type="gramEnd"/>
      <w:r w:rsidRPr="0068390D">
        <w:rPr>
          <w:sz w:val="28"/>
          <w:szCs w:val="28"/>
          <w:lang w:val="en-US"/>
        </w:rPr>
        <w:t xml:space="preserve"> </w:t>
      </w:r>
      <w:proofErr w:type="spellStart"/>
      <w:r w:rsidRPr="00D967CA">
        <w:rPr>
          <w:sz w:val="28"/>
          <w:szCs w:val="28"/>
          <w:lang w:val="en-US"/>
        </w:rPr>
        <w:t>vol</w:t>
      </w:r>
      <w:proofErr w:type="spellEnd"/>
      <w:r w:rsidRPr="0068390D">
        <w:rPr>
          <w:sz w:val="28"/>
          <w:szCs w:val="28"/>
          <w:lang w:val="en-US"/>
        </w:rPr>
        <w:t xml:space="preserve"> </w:t>
      </w:r>
      <w:r w:rsidRPr="00D967CA">
        <w:rPr>
          <w:sz w:val="28"/>
          <w:szCs w:val="28"/>
          <w:lang w:val="en-US"/>
        </w:rPr>
        <w:t>HC</w:t>
      </w:r>
      <w:r w:rsidRPr="0068390D">
        <w:rPr>
          <w:sz w:val="28"/>
          <w:szCs w:val="28"/>
          <w:lang w:val="en-US"/>
        </w:rPr>
        <w:t xml:space="preserve"> (</w:t>
      </w:r>
      <w:r w:rsidRPr="00D967CA">
        <w:rPr>
          <w:sz w:val="28"/>
          <w:szCs w:val="28"/>
        </w:rPr>
        <w:t>в</w:t>
      </w:r>
      <w:r w:rsidRPr="0068390D">
        <w:rPr>
          <w:sz w:val="28"/>
          <w:szCs w:val="28"/>
          <w:lang w:val="en-US"/>
        </w:rPr>
        <w:t xml:space="preserve"> </w:t>
      </w:r>
      <w:r w:rsidRPr="00D967CA">
        <w:rPr>
          <w:sz w:val="28"/>
          <w:szCs w:val="28"/>
        </w:rPr>
        <w:t>пересчете</w:t>
      </w:r>
      <w:r w:rsidRPr="0068390D">
        <w:rPr>
          <w:sz w:val="28"/>
          <w:szCs w:val="28"/>
          <w:lang w:val="en-US"/>
        </w:rPr>
        <w:t xml:space="preserve"> </w:t>
      </w:r>
      <w:r w:rsidRPr="00D967CA">
        <w:rPr>
          <w:sz w:val="28"/>
          <w:szCs w:val="28"/>
        </w:rPr>
        <w:t>на</w:t>
      </w:r>
      <w:r w:rsidRPr="0068390D">
        <w:rPr>
          <w:sz w:val="28"/>
          <w:szCs w:val="28"/>
          <w:lang w:val="en-US"/>
        </w:rPr>
        <w:t xml:space="preserve"> </w:t>
      </w:r>
      <w:r w:rsidRPr="00D967CA">
        <w:rPr>
          <w:sz w:val="28"/>
          <w:szCs w:val="28"/>
          <w:lang w:val="en-US"/>
        </w:rPr>
        <w:t>n</w:t>
      </w:r>
      <w:r w:rsidRPr="0068390D">
        <w:rPr>
          <w:sz w:val="28"/>
          <w:szCs w:val="28"/>
          <w:lang w:val="en-US"/>
        </w:rPr>
        <w:t>-</w:t>
      </w:r>
      <w:proofErr w:type="spellStart"/>
      <w:r w:rsidRPr="00D967CA">
        <w:rPr>
          <w:sz w:val="28"/>
          <w:szCs w:val="28"/>
          <w:lang w:val="en-US"/>
        </w:rPr>
        <w:t>hexan</w:t>
      </w:r>
      <w:proofErr w:type="spellEnd"/>
      <w:r w:rsidRPr="0068390D">
        <w:rPr>
          <w:sz w:val="28"/>
          <w:szCs w:val="28"/>
          <w:lang w:val="en-US"/>
        </w:rPr>
        <w:t xml:space="preserve">), </w:t>
      </w:r>
      <w:r w:rsidRPr="00D967CA">
        <w:rPr>
          <w:sz w:val="28"/>
          <w:szCs w:val="28"/>
        </w:rPr>
        <w:t>насыщенные</w:t>
      </w:r>
      <w:r w:rsidRPr="0068390D">
        <w:rPr>
          <w:sz w:val="28"/>
          <w:szCs w:val="28"/>
          <w:lang w:val="en-US"/>
        </w:rPr>
        <w:t xml:space="preserve"> </w:t>
      </w:r>
      <w:r w:rsidRPr="00D967CA">
        <w:rPr>
          <w:sz w:val="28"/>
          <w:szCs w:val="28"/>
        </w:rPr>
        <w:t>водяные</w:t>
      </w:r>
      <w:r w:rsidRPr="0068390D">
        <w:rPr>
          <w:sz w:val="28"/>
          <w:szCs w:val="28"/>
          <w:lang w:val="en-US"/>
        </w:rPr>
        <w:t xml:space="preserve"> </w:t>
      </w:r>
      <w:r w:rsidRPr="00D967CA">
        <w:rPr>
          <w:sz w:val="28"/>
          <w:szCs w:val="28"/>
        </w:rPr>
        <w:t>пары</w:t>
      </w:r>
      <w:r w:rsidRPr="0068390D">
        <w:rPr>
          <w:sz w:val="28"/>
          <w:szCs w:val="28"/>
          <w:lang w:val="en-US"/>
        </w:rPr>
        <w:t>.</w:t>
      </w:r>
    </w:p>
    <w:p w:rsidR="00851015" w:rsidRPr="00D967CA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10. Анализатор выхлопного газа должен иметь регулировочные устройства, обеспечивающие установку нуля, эталонирование газовыми смесями и внутреннюю настройку. Регулировочное устройство для установки нуля и внутренней настройки должно быть автоматическим.</w:t>
      </w:r>
    </w:p>
    <w:p w:rsidR="00851015" w:rsidRPr="00D967CA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11. Анализаторы, имеющие устройства автоматической или полуавтоматической настройки, не должны проводить измерения до выполнения настройки.</w:t>
      </w:r>
    </w:p>
    <w:p w:rsidR="00851015" w:rsidRPr="00D967CA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12. Анализатор выхлопного газа должен обнаруживать остаточное содержание углеводородов в </w:t>
      </w:r>
      <w:proofErr w:type="spellStart"/>
      <w:r w:rsidRPr="00D967CA">
        <w:rPr>
          <w:sz w:val="28"/>
          <w:szCs w:val="28"/>
        </w:rPr>
        <w:t>газоотборной</w:t>
      </w:r>
      <w:proofErr w:type="spellEnd"/>
      <w:r w:rsidRPr="00D967CA">
        <w:rPr>
          <w:sz w:val="28"/>
          <w:szCs w:val="28"/>
        </w:rPr>
        <w:t xml:space="preserve"> системе. Он не должен выполнять измерения, если остаточное содержание углеводородов перед проведением измерений превышает 20 </w:t>
      </w:r>
      <w:proofErr w:type="spellStart"/>
      <w:r w:rsidRPr="00D967CA">
        <w:rPr>
          <w:sz w:val="28"/>
          <w:szCs w:val="28"/>
        </w:rPr>
        <w:t>ppm</w:t>
      </w:r>
      <w:proofErr w:type="spellEnd"/>
      <w:r w:rsidRPr="00D967CA">
        <w:rPr>
          <w:sz w:val="28"/>
          <w:szCs w:val="28"/>
        </w:rPr>
        <w:t xml:space="preserve"> </w:t>
      </w:r>
      <w:proofErr w:type="spellStart"/>
      <w:r w:rsidRPr="00D967CA">
        <w:rPr>
          <w:sz w:val="28"/>
          <w:szCs w:val="28"/>
        </w:rPr>
        <w:t>vol</w:t>
      </w:r>
      <w:proofErr w:type="spellEnd"/>
      <w:r w:rsidRPr="00D967CA">
        <w:rPr>
          <w:sz w:val="28"/>
          <w:szCs w:val="28"/>
        </w:rPr>
        <w:t>.</w:t>
      </w:r>
    </w:p>
    <w:p w:rsidR="00851015" w:rsidRPr="00D967CA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13. Анализатор выхлопного газа должен иметь устройство, автоматически распознающее любую неисправность датчика кислородного канала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из-за старения или поломки соединительной линии.</w:t>
      </w:r>
    </w:p>
    <w:p w:rsidR="00851015" w:rsidRPr="00D967CA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14. Если анализатор выхлопного газа в состоянии работать с различными </w:t>
      </w:r>
      <w:r>
        <w:rPr>
          <w:sz w:val="28"/>
          <w:szCs w:val="28"/>
        </w:rPr>
        <w:t xml:space="preserve">видами </w:t>
      </w:r>
      <w:r w:rsidRPr="00D967CA">
        <w:rPr>
          <w:sz w:val="28"/>
          <w:szCs w:val="28"/>
        </w:rPr>
        <w:t>топлива (например, бензином или жидким газом), то должна быть возможность выбора подходящих коэффициентов для вычисления лямбды, без двусмысленности относительно соответствующей формулы.</w:t>
      </w:r>
    </w:p>
    <w:p w:rsidR="00851015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</w:p>
    <w:p w:rsidR="00851015" w:rsidRPr="00133EA7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133EA7">
        <w:rPr>
          <w:b/>
          <w:sz w:val="28"/>
          <w:szCs w:val="28"/>
        </w:rPr>
        <w:t>ОЦЕНКА СООТВЕТСТВИЯ</w:t>
      </w:r>
    </w:p>
    <w:p w:rsidR="00851015" w:rsidRPr="00D967CA" w:rsidRDefault="00851015" w:rsidP="00851015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Процедуры оценки соответствия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указанные в </w:t>
      </w:r>
      <w:r>
        <w:rPr>
          <w:sz w:val="28"/>
          <w:szCs w:val="28"/>
        </w:rPr>
        <w:t>приложении</w:t>
      </w:r>
      <w:r w:rsidRPr="00D967CA">
        <w:rPr>
          <w:sz w:val="28"/>
          <w:szCs w:val="28"/>
        </w:rPr>
        <w:t xml:space="preserve"> №2 </w:t>
      </w:r>
      <w:r>
        <w:rPr>
          <w:sz w:val="28"/>
          <w:szCs w:val="28"/>
        </w:rPr>
        <w:t xml:space="preserve">к настоящему Техническому регламенту, </w:t>
      </w:r>
      <w:r w:rsidRPr="00D967CA">
        <w:rPr>
          <w:sz w:val="28"/>
          <w:szCs w:val="28"/>
        </w:rPr>
        <w:t xml:space="preserve">из которых </w:t>
      </w:r>
      <w:r>
        <w:rPr>
          <w:sz w:val="28"/>
          <w:szCs w:val="28"/>
        </w:rPr>
        <w:t xml:space="preserve">производитель </w:t>
      </w:r>
      <w:r w:rsidRPr="00D967CA">
        <w:rPr>
          <w:sz w:val="28"/>
          <w:szCs w:val="28"/>
        </w:rPr>
        <w:t xml:space="preserve">может </w:t>
      </w:r>
      <w:proofErr w:type="gramStart"/>
      <w:r w:rsidRPr="00D967CA">
        <w:rPr>
          <w:sz w:val="28"/>
          <w:szCs w:val="28"/>
        </w:rPr>
        <w:t>выб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 xml:space="preserve">рать:   </w:t>
      </w:r>
      <w:proofErr w:type="gramEnd"/>
      <w:r w:rsidRPr="00D967CA">
        <w:rPr>
          <w:sz w:val="28"/>
          <w:szCs w:val="28"/>
        </w:rPr>
        <w:t>B + F или B + D или H1.</w:t>
      </w:r>
    </w:p>
    <w:p w:rsidR="00635F90" w:rsidRDefault="00635F90"/>
    <w:sectPr w:rsidR="00635F90" w:rsidSect="0085101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9629D"/>
    <w:multiLevelType w:val="multilevel"/>
    <w:tmpl w:val="53BE134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15"/>
    <w:rsid w:val="00635F90"/>
    <w:rsid w:val="008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25CAB-302E-404E-AD20-CA7CA070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851015"/>
  </w:style>
  <w:style w:type="paragraph" w:customStyle="1" w:styleId="1">
    <w:name w:val="Обычный1"/>
    <w:basedOn w:val="a"/>
    <w:uiPriority w:val="99"/>
    <w:rsid w:val="00851015"/>
    <w:pPr>
      <w:spacing w:before="100" w:beforeAutospacing="1" w:after="100" w:afterAutospacing="1"/>
    </w:pPr>
  </w:style>
  <w:style w:type="character" w:customStyle="1" w:styleId="bold">
    <w:name w:val="bold"/>
    <w:uiPriority w:val="99"/>
    <w:rsid w:val="00851015"/>
  </w:style>
  <w:style w:type="paragraph" w:customStyle="1" w:styleId="note">
    <w:name w:val="note"/>
    <w:basedOn w:val="a"/>
    <w:uiPriority w:val="99"/>
    <w:rsid w:val="00851015"/>
    <w:pPr>
      <w:spacing w:before="100" w:beforeAutospacing="1" w:after="100" w:afterAutospacing="1"/>
    </w:pPr>
  </w:style>
  <w:style w:type="paragraph" w:customStyle="1" w:styleId="ti-grseq-1">
    <w:name w:val="ti-grseq-1"/>
    <w:basedOn w:val="a"/>
    <w:uiPriority w:val="99"/>
    <w:rsid w:val="00851015"/>
    <w:pPr>
      <w:spacing w:before="100" w:beforeAutospacing="1" w:after="100" w:afterAutospacing="1"/>
    </w:pPr>
  </w:style>
  <w:style w:type="paragraph" w:customStyle="1" w:styleId="tbl-txt">
    <w:name w:val="tbl-txt"/>
    <w:basedOn w:val="a"/>
    <w:uiPriority w:val="99"/>
    <w:rsid w:val="00851015"/>
    <w:pPr>
      <w:spacing w:before="100" w:beforeAutospacing="1" w:after="100" w:afterAutospacing="1"/>
    </w:pPr>
  </w:style>
  <w:style w:type="paragraph" w:customStyle="1" w:styleId="ti-tbl">
    <w:name w:val="ti-tbl"/>
    <w:basedOn w:val="a"/>
    <w:uiPriority w:val="99"/>
    <w:rsid w:val="00851015"/>
    <w:pPr>
      <w:spacing w:before="100" w:beforeAutospacing="1" w:after="100" w:afterAutospacing="1"/>
    </w:pPr>
  </w:style>
  <w:style w:type="paragraph" w:customStyle="1" w:styleId="tbl-hdr">
    <w:name w:val="tbl-hdr"/>
    <w:basedOn w:val="a"/>
    <w:uiPriority w:val="99"/>
    <w:rsid w:val="00851015"/>
    <w:pPr>
      <w:spacing w:before="100" w:beforeAutospacing="1" w:after="100" w:afterAutospacing="1"/>
    </w:pPr>
  </w:style>
  <w:style w:type="paragraph" w:customStyle="1" w:styleId="tbl-num">
    <w:name w:val="tbl-num"/>
    <w:basedOn w:val="a"/>
    <w:uiPriority w:val="99"/>
    <w:rsid w:val="00851015"/>
    <w:pPr>
      <w:spacing w:before="100" w:beforeAutospacing="1" w:after="100" w:afterAutospacing="1"/>
    </w:pPr>
  </w:style>
  <w:style w:type="character" w:customStyle="1" w:styleId="sub">
    <w:name w:val="sub"/>
    <w:uiPriority w:val="99"/>
    <w:rsid w:val="0085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2015-08-05T15:00:00Z</dcterms:created>
  <dcterms:modified xsi:type="dcterms:W3CDTF">2015-08-05T15:01:00Z</dcterms:modified>
</cp:coreProperties>
</file>